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1754A4">
        <w:rPr>
          <w:rFonts w:ascii="Palatino Linotype" w:hAnsi="Palatino Linotype" w:cs="Arial"/>
          <w:b/>
          <w:sz w:val="24"/>
          <w:szCs w:val="24"/>
        </w:rPr>
        <w:t>3</w:t>
      </w:r>
      <w:r w:rsidR="00810197">
        <w:rPr>
          <w:rFonts w:ascii="Palatino Linotype" w:hAnsi="Palatino Linotype" w:cs="Arial"/>
          <w:b/>
          <w:sz w:val="24"/>
          <w:szCs w:val="24"/>
        </w:rPr>
        <w:t>514</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7B476C" w:rsidRDefault="00902248" w:rsidP="003C7244">
      <w:pPr>
        <w:spacing w:after="0" w:line="276" w:lineRule="auto"/>
        <w:jc w:val="both"/>
        <w:rPr>
          <w:rFonts w:ascii="Palatino Linotype" w:hAnsi="Palatino Linotype" w:cs="Arial"/>
          <w:sz w:val="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46491C" w:rsidRPr="00072966" w:rsidRDefault="0046491C" w:rsidP="007B476C">
      <w:pPr>
        <w:spacing w:after="0" w:line="276"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A96F87" w:rsidRDefault="00902248" w:rsidP="007B476C">
      <w:pPr>
        <w:spacing w:after="0" w:line="276" w:lineRule="auto"/>
        <w:jc w:val="both"/>
        <w:rPr>
          <w:rFonts w:ascii="Palatino Linotype" w:hAnsi="Palatino Linotype" w:cs="Arial"/>
          <w:sz w:val="14"/>
          <w:szCs w:val="24"/>
        </w:rPr>
      </w:pPr>
    </w:p>
    <w:p w:rsidR="0046491C" w:rsidRPr="00072966" w:rsidRDefault="0046491C" w:rsidP="007B476C">
      <w:pPr>
        <w:spacing w:after="0" w:line="276"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7B476C" w:rsidRDefault="0001046D" w:rsidP="007B476C">
      <w:pPr>
        <w:spacing w:after="0" w:line="276" w:lineRule="auto"/>
        <w:jc w:val="both"/>
        <w:rPr>
          <w:rFonts w:ascii="Palatino Linotype" w:hAnsi="Palatino Linotype" w:cs="Arial"/>
          <w:sz w:val="10"/>
          <w:szCs w:val="24"/>
        </w:rPr>
      </w:pPr>
    </w:p>
    <w:p w:rsidR="0046491C" w:rsidRPr="00072966" w:rsidRDefault="0046491C" w:rsidP="007B476C">
      <w:pPr>
        <w:spacing w:after="0" w:line="276"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7B476C" w:rsidRDefault="0046491C" w:rsidP="007B476C">
      <w:pPr>
        <w:spacing w:after="0" w:line="276" w:lineRule="auto"/>
        <w:jc w:val="both"/>
        <w:rPr>
          <w:rFonts w:ascii="Palatino Linotype" w:hAnsi="Palatino Linotype" w:cs="Arial"/>
          <w:sz w:val="10"/>
          <w:szCs w:val="24"/>
        </w:rPr>
      </w:pPr>
    </w:p>
    <w:p w:rsidR="007B476C" w:rsidRPr="001C3BD8" w:rsidRDefault="007B476C" w:rsidP="007B476C">
      <w:p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P</w:t>
      </w:r>
      <w:r w:rsidRPr="001C3BD8">
        <w:rPr>
          <w:rFonts w:ascii="Palatino Linotype" w:hAnsi="Palatino Linotype"/>
          <w:sz w:val="24"/>
          <w:szCs w:val="24"/>
          <w:lang w:val="es-ES_tradnl"/>
        </w:rPr>
        <w:t xml:space="preserve">ara acreditar la reserva de la información, es necesario que se actualicen los siguientes requisitos: </w:t>
      </w:r>
    </w:p>
    <w:p w:rsidR="007B476C" w:rsidRPr="001C3BD8" w:rsidRDefault="007B476C" w:rsidP="007B476C">
      <w:pPr>
        <w:pStyle w:val="Prrafodelista"/>
        <w:numPr>
          <w:ilvl w:val="0"/>
          <w:numId w:val="38"/>
        </w:num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7B476C" w:rsidRPr="001C3BD8" w:rsidRDefault="007B476C" w:rsidP="007B476C">
      <w:pPr>
        <w:pStyle w:val="Prrafodelista"/>
        <w:numPr>
          <w:ilvl w:val="0"/>
          <w:numId w:val="38"/>
        </w:num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7B476C" w:rsidRPr="001C3BD8" w:rsidRDefault="007B476C" w:rsidP="007B476C">
      <w:pPr>
        <w:pStyle w:val="Prrafodelista"/>
        <w:numPr>
          <w:ilvl w:val="0"/>
          <w:numId w:val="38"/>
        </w:num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7B476C" w:rsidRPr="001C3BD8" w:rsidRDefault="007B476C" w:rsidP="007B476C">
      <w:pPr>
        <w:pStyle w:val="Prrafodelista"/>
        <w:numPr>
          <w:ilvl w:val="0"/>
          <w:numId w:val="38"/>
        </w:num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7B476C" w:rsidRPr="007B476C" w:rsidRDefault="007B476C" w:rsidP="007B476C">
      <w:pPr>
        <w:spacing w:after="0" w:line="276" w:lineRule="auto"/>
        <w:jc w:val="both"/>
        <w:rPr>
          <w:rFonts w:ascii="Palatino Linotype" w:hAnsi="Palatino Linotype" w:cs="Arial"/>
          <w:sz w:val="10"/>
          <w:szCs w:val="24"/>
          <w:lang w:val="es-ES_tradnl"/>
        </w:rPr>
      </w:pPr>
    </w:p>
    <w:p w:rsidR="007B476C" w:rsidRPr="001C3BD8" w:rsidRDefault="007B476C" w:rsidP="007B476C">
      <w:pPr>
        <w:spacing w:after="0" w:line="276"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3C7244" w:rsidRDefault="003C7244" w:rsidP="003C7244">
      <w:pPr>
        <w:spacing w:after="0" w:line="276" w:lineRule="auto"/>
        <w:jc w:val="both"/>
        <w:rPr>
          <w:rFonts w:ascii="Palatino Linotype" w:hAnsi="Palatino Linotype" w:cs="Arial"/>
          <w:sz w:val="24"/>
          <w:szCs w:val="24"/>
        </w:rPr>
      </w:pPr>
    </w:p>
    <w:p w:rsidR="002C0734" w:rsidRDefault="002C073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4F0FDE"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31016633" w:history="1">
            <w:r w:rsidR="004F0FDE" w:rsidRPr="0004787F">
              <w:rPr>
                <w:rStyle w:val="Hipervnculo"/>
                <w:rFonts w:ascii="Palatino Linotype" w:hAnsi="Palatino Linotype"/>
                <w:b/>
                <w:noProof/>
              </w:rPr>
              <w:t>I.</w:t>
            </w:r>
            <w:r w:rsidR="004F0FDE">
              <w:rPr>
                <w:rFonts w:eastAsiaTheme="minorEastAsia"/>
                <w:noProof/>
                <w:lang w:eastAsia="es-MX"/>
              </w:rPr>
              <w:tab/>
            </w:r>
            <w:r w:rsidR="004F0FDE" w:rsidRPr="0004787F">
              <w:rPr>
                <w:rStyle w:val="Hipervnculo"/>
                <w:rFonts w:ascii="Palatino Linotype" w:hAnsi="Palatino Linotype"/>
                <w:b/>
                <w:noProof/>
              </w:rPr>
              <w:t>Consideraciones Generales.</w:t>
            </w:r>
            <w:r w:rsidR="004F0FDE">
              <w:rPr>
                <w:noProof/>
                <w:webHidden/>
              </w:rPr>
              <w:tab/>
            </w:r>
            <w:r w:rsidR="004F0FDE">
              <w:rPr>
                <w:noProof/>
                <w:webHidden/>
              </w:rPr>
              <w:fldChar w:fldCharType="begin"/>
            </w:r>
            <w:r w:rsidR="004F0FDE">
              <w:rPr>
                <w:noProof/>
                <w:webHidden/>
              </w:rPr>
              <w:instrText xml:space="preserve"> PAGEREF _Toc531016633 \h </w:instrText>
            </w:r>
            <w:r w:rsidR="004F0FDE">
              <w:rPr>
                <w:noProof/>
                <w:webHidden/>
              </w:rPr>
            </w:r>
            <w:r w:rsidR="004F0FDE">
              <w:rPr>
                <w:noProof/>
                <w:webHidden/>
              </w:rPr>
              <w:fldChar w:fldCharType="separate"/>
            </w:r>
            <w:r w:rsidR="00C0667F">
              <w:rPr>
                <w:noProof/>
                <w:webHidden/>
              </w:rPr>
              <w:t>2</w:t>
            </w:r>
            <w:r w:rsidR="004F0FDE">
              <w:rPr>
                <w:noProof/>
                <w:webHidden/>
              </w:rPr>
              <w:fldChar w:fldCharType="end"/>
            </w:r>
          </w:hyperlink>
        </w:p>
        <w:p w:rsidR="004F0FDE" w:rsidRDefault="00D21B5A">
          <w:pPr>
            <w:pStyle w:val="TDC1"/>
            <w:rPr>
              <w:rFonts w:eastAsiaTheme="minorEastAsia"/>
              <w:noProof/>
              <w:lang w:eastAsia="es-MX"/>
            </w:rPr>
          </w:pPr>
          <w:hyperlink w:anchor="_Toc531016634" w:history="1">
            <w:r w:rsidR="004F0FDE" w:rsidRPr="0004787F">
              <w:rPr>
                <w:rStyle w:val="Hipervnculo"/>
                <w:rFonts w:ascii="Palatino Linotype" w:hAnsi="Palatino Linotype"/>
                <w:b/>
                <w:noProof/>
              </w:rPr>
              <w:t>II.</w:t>
            </w:r>
            <w:r w:rsidR="004F0FDE">
              <w:rPr>
                <w:rFonts w:eastAsiaTheme="minorEastAsia"/>
                <w:noProof/>
                <w:lang w:eastAsia="es-MX"/>
              </w:rPr>
              <w:tab/>
            </w:r>
            <w:r w:rsidR="004F0FDE" w:rsidRPr="0004787F">
              <w:rPr>
                <w:rStyle w:val="Hipervnculo"/>
                <w:rFonts w:ascii="Palatino Linotype" w:hAnsi="Palatino Linotype"/>
                <w:b/>
                <w:noProof/>
              </w:rPr>
              <w:t>De los requerimientos planteados en el recurso de revisión.</w:t>
            </w:r>
            <w:r w:rsidR="004F0FDE">
              <w:rPr>
                <w:noProof/>
                <w:webHidden/>
              </w:rPr>
              <w:tab/>
            </w:r>
            <w:r w:rsidR="004F0FDE">
              <w:rPr>
                <w:noProof/>
                <w:webHidden/>
              </w:rPr>
              <w:fldChar w:fldCharType="begin"/>
            </w:r>
            <w:r w:rsidR="004F0FDE">
              <w:rPr>
                <w:noProof/>
                <w:webHidden/>
              </w:rPr>
              <w:instrText xml:space="preserve"> PAGEREF _Toc531016634 \h </w:instrText>
            </w:r>
            <w:r w:rsidR="004F0FDE">
              <w:rPr>
                <w:noProof/>
                <w:webHidden/>
              </w:rPr>
            </w:r>
            <w:r w:rsidR="004F0FDE">
              <w:rPr>
                <w:noProof/>
                <w:webHidden/>
              </w:rPr>
              <w:fldChar w:fldCharType="separate"/>
            </w:r>
            <w:r w:rsidR="00C0667F">
              <w:rPr>
                <w:noProof/>
                <w:webHidden/>
              </w:rPr>
              <w:t>3</w:t>
            </w:r>
            <w:r w:rsidR="004F0FDE">
              <w:rPr>
                <w:noProof/>
                <w:webHidden/>
              </w:rPr>
              <w:fldChar w:fldCharType="end"/>
            </w:r>
          </w:hyperlink>
        </w:p>
        <w:p w:rsidR="004F0FDE" w:rsidRDefault="00D21B5A">
          <w:pPr>
            <w:pStyle w:val="TDC1"/>
            <w:rPr>
              <w:rFonts w:eastAsiaTheme="minorEastAsia"/>
              <w:noProof/>
              <w:lang w:eastAsia="es-MX"/>
            </w:rPr>
          </w:pPr>
          <w:hyperlink w:anchor="_Toc531016635" w:history="1">
            <w:r w:rsidR="004F0FDE" w:rsidRPr="0004787F">
              <w:rPr>
                <w:rStyle w:val="Hipervnculo"/>
                <w:rFonts w:ascii="Palatino Linotype" w:hAnsi="Palatino Linotype"/>
                <w:b/>
                <w:noProof/>
              </w:rPr>
              <w:t>III.</w:t>
            </w:r>
            <w:r w:rsidR="004F0FDE">
              <w:rPr>
                <w:rFonts w:eastAsiaTheme="minorEastAsia"/>
                <w:noProof/>
                <w:lang w:eastAsia="es-MX"/>
              </w:rPr>
              <w:tab/>
            </w:r>
            <w:r w:rsidR="004F0FDE" w:rsidRPr="0004787F">
              <w:rPr>
                <w:rStyle w:val="Hipervnculo"/>
                <w:rFonts w:ascii="Palatino Linotype" w:hAnsi="Palatino Linotype"/>
                <w:b/>
                <w:noProof/>
              </w:rPr>
              <w:t>Los actos consentidos no deben invocarse en el derecho fundamental de acceder a la información pública gubernamental.</w:t>
            </w:r>
            <w:r w:rsidR="004F0FDE">
              <w:rPr>
                <w:noProof/>
                <w:webHidden/>
              </w:rPr>
              <w:tab/>
            </w:r>
            <w:r w:rsidR="004F0FDE">
              <w:rPr>
                <w:noProof/>
                <w:webHidden/>
              </w:rPr>
              <w:fldChar w:fldCharType="begin"/>
            </w:r>
            <w:r w:rsidR="004F0FDE">
              <w:rPr>
                <w:noProof/>
                <w:webHidden/>
              </w:rPr>
              <w:instrText xml:space="preserve"> PAGEREF _Toc531016635 \h </w:instrText>
            </w:r>
            <w:r w:rsidR="004F0FDE">
              <w:rPr>
                <w:noProof/>
                <w:webHidden/>
              </w:rPr>
            </w:r>
            <w:r w:rsidR="004F0FDE">
              <w:rPr>
                <w:noProof/>
                <w:webHidden/>
              </w:rPr>
              <w:fldChar w:fldCharType="separate"/>
            </w:r>
            <w:r w:rsidR="00C0667F">
              <w:rPr>
                <w:noProof/>
                <w:webHidden/>
              </w:rPr>
              <w:t>7</w:t>
            </w:r>
            <w:r w:rsidR="004F0FDE">
              <w:rPr>
                <w:noProof/>
                <w:webHidden/>
              </w:rPr>
              <w:fldChar w:fldCharType="end"/>
            </w:r>
          </w:hyperlink>
        </w:p>
        <w:p w:rsidR="004F0FDE" w:rsidRDefault="00D21B5A">
          <w:pPr>
            <w:pStyle w:val="TDC1"/>
            <w:rPr>
              <w:rFonts w:eastAsiaTheme="minorEastAsia"/>
              <w:noProof/>
              <w:lang w:eastAsia="es-MX"/>
            </w:rPr>
          </w:pPr>
          <w:hyperlink w:anchor="_Toc531016636" w:history="1">
            <w:r w:rsidR="004F0FDE" w:rsidRPr="0004787F">
              <w:rPr>
                <w:rStyle w:val="Hipervnculo"/>
                <w:rFonts w:ascii="Palatino Linotype" w:hAnsi="Palatino Linotype" w:cs="Arial"/>
                <w:b/>
                <w:noProof/>
                <w:lang w:val="es-ES_tradnl"/>
              </w:rPr>
              <w:t>IV.</w:t>
            </w:r>
            <w:r w:rsidR="004F0FDE">
              <w:rPr>
                <w:rFonts w:eastAsiaTheme="minorEastAsia"/>
                <w:noProof/>
                <w:lang w:eastAsia="es-MX"/>
              </w:rPr>
              <w:tab/>
            </w:r>
            <w:r w:rsidR="004F0FDE" w:rsidRPr="0004787F">
              <w:rPr>
                <w:rStyle w:val="Hipervnculo"/>
                <w:rFonts w:ascii="Palatino Linotype" w:hAnsi="Palatino Linotype"/>
                <w:b/>
                <w:noProof/>
              </w:rPr>
              <w:t>Efectos</w:t>
            </w:r>
            <w:r w:rsidR="004F0FDE" w:rsidRPr="0004787F">
              <w:rPr>
                <w:rStyle w:val="Hipervnculo"/>
                <w:rFonts w:ascii="Palatino Linotype" w:hAnsi="Palatino Linotype" w:cs="Arial"/>
                <w:b/>
                <w:noProof/>
                <w:lang w:val="es-ES_tradnl"/>
              </w:rPr>
              <w:t xml:space="preserve"> de la clasificación de información y la importancia de emitir acuerdos, para tales efectos, apegados a derecho.</w:t>
            </w:r>
            <w:r w:rsidR="004F0FDE">
              <w:rPr>
                <w:noProof/>
                <w:webHidden/>
              </w:rPr>
              <w:tab/>
            </w:r>
            <w:r w:rsidR="004F0FDE">
              <w:rPr>
                <w:noProof/>
                <w:webHidden/>
              </w:rPr>
              <w:fldChar w:fldCharType="begin"/>
            </w:r>
            <w:r w:rsidR="004F0FDE">
              <w:rPr>
                <w:noProof/>
                <w:webHidden/>
              </w:rPr>
              <w:instrText xml:space="preserve"> PAGEREF _Toc531016636 \h </w:instrText>
            </w:r>
            <w:r w:rsidR="004F0FDE">
              <w:rPr>
                <w:noProof/>
                <w:webHidden/>
              </w:rPr>
            </w:r>
            <w:r w:rsidR="004F0FDE">
              <w:rPr>
                <w:noProof/>
                <w:webHidden/>
              </w:rPr>
              <w:fldChar w:fldCharType="separate"/>
            </w:r>
            <w:r w:rsidR="00C0667F">
              <w:rPr>
                <w:noProof/>
                <w:webHidden/>
              </w:rPr>
              <w:t>16</w:t>
            </w:r>
            <w:r w:rsidR="004F0FDE">
              <w:rPr>
                <w:noProof/>
                <w:webHidden/>
              </w:rPr>
              <w:fldChar w:fldCharType="end"/>
            </w:r>
          </w:hyperlink>
        </w:p>
        <w:p w:rsidR="007879C6" w:rsidRPr="004F0FDE" w:rsidRDefault="0046491C" w:rsidP="004F0FDE">
          <w:pPr>
            <w:spacing w:line="360" w:lineRule="auto"/>
            <w:rPr>
              <w:rFonts w:ascii="Palatino Linotype" w:hAnsi="Palatino Linotype"/>
            </w:rPr>
          </w:pPr>
          <w:r w:rsidRPr="00072966">
            <w:rPr>
              <w:rFonts w:ascii="Palatino Linotype" w:hAnsi="Palatino Linotype"/>
              <w:b/>
              <w:bCs/>
              <w:lang w:val="es-ES"/>
            </w:rPr>
            <w:fldChar w:fldCharType="end"/>
          </w:r>
        </w:p>
      </w:sdtContent>
    </w:sdt>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31016633"/>
      <w:r w:rsidRPr="00072966">
        <w:rPr>
          <w:rFonts w:ascii="Palatino Linotype" w:hAnsi="Palatino Linotype"/>
          <w:b/>
          <w:color w:val="auto"/>
          <w:sz w:val="24"/>
          <w:szCs w:val="24"/>
        </w:rPr>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810197">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810197">
        <w:rPr>
          <w:rFonts w:ascii="Palatino Linotype" w:hAnsi="Palatino Linotype" w:cs="Arial"/>
          <w:sz w:val="24"/>
          <w:szCs w:val="24"/>
        </w:rPr>
        <w:lastRenderedPageBreak/>
        <w:t>Cuadragésima Tercera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810197">
        <w:rPr>
          <w:rFonts w:ascii="Palatino Linotype" w:hAnsi="Palatino Linotype" w:cs="Arial"/>
          <w:sz w:val="24"/>
          <w:szCs w:val="24"/>
        </w:rPr>
        <w:t xml:space="preserve">veintidós (22) de noviembre </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D21B5A" w:rsidRPr="00D21B5A">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 xml:space="preserve">en contra de la respuesta del </w:t>
      </w:r>
      <w:r w:rsidR="001754A4" w:rsidRPr="001754A4">
        <w:rPr>
          <w:rFonts w:ascii="Palatino Linotype" w:eastAsia="Calibri" w:hAnsi="Palatino Linotype" w:cs="Times New Roman"/>
          <w:b/>
          <w:sz w:val="24"/>
          <w:szCs w:val="24"/>
          <w:lang w:eastAsia="es-ES"/>
        </w:rPr>
        <w:t xml:space="preserve">Instituto de Salud del Estado de México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1754A4">
        <w:rPr>
          <w:rFonts w:ascii="Palatino Linotype" w:eastAsia="Times New Roman" w:hAnsi="Palatino Linotype" w:cs="Arial"/>
          <w:b/>
          <w:bCs/>
          <w:sz w:val="24"/>
          <w:szCs w:val="24"/>
          <w:lang w:eastAsia="es-ES"/>
        </w:rPr>
        <w:t>3</w:t>
      </w:r>
      <w:r w:rsidR="00810197">
        <w:rPr>
          <w:rFonts w:ascii="Palatino Linotype" w:eastAsia="Times New Roman" w:hAnsi="Palatino Linotype" w:cs="Arial"/>
          <w:b/>
          <w:bCs/>
          <w:sz w:val="24"/>
          <w:szCs w:val="24"/>
          <w:lang w:eastAsia="es-ES"/>
        </w:rPr>
        <w:t>514</w:t>
      </w:r>
      <w:r w:rsidR="001754A4">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DF7B12">
      <w:pPr>
        <w:pStyle w:val="Prrafodelista"/>
        <w:spacing w:after="0" w:line="240" w:lineRule="auto"/>
        <w:ind w:left="426"/>
        <w:jc w:val="both"/>
        <w:rPr>
          <w:rFonts w:ascii="Palatino Linotype" w:hAnsi="Palatino Linotype" w:cs="Arial"/>
          <w:sz w:val="24"/>
          <w:szCs w:val="24"/>
        </w:rPr>
      </w:pPr>
    </w:p>
    <w:p w:rsidR="00810197" w:rsidRPr="00810197" w:rsidRDefault="00C7250F" w:rsidP="001E5BA1">
      <w:pPr>
        <w:pStyle w:val="Prrafodelista"/>
        <w:numPr>
          <w:ilvl w:val="0"/>
          <w:numId w:val="1"/>
        </w:numPr>
        <w:spacing w:before="240" w:after="0" w:line="360" w:lineRule="auto"/>
        <w:ind w:right="49"/>
        <w:jc w:val="both"/>
        <w:rPr>
          <w:rFonts w:ascii="Palatino Linotype" w:hAnsi="Palatino Linotype" w:cs="Arial"/>
          <w:sz w:val="24"/>
          <w:szCs w:val="24"/>
        </w:rPr>
      </w:pPr>
      <w:r w:rsidRPr="00810197">
        <w:rPr>
          <w:rFonts w:ascii="Palatino Linotype" w:hAnsi="Palatino Linotype" w:cs="Arial"/>
          <w:sz w:val="24"/>
          <w:szCs w:val="24"/>
        </w:rPr>
        <w:t>El sentido de la Resolución determin</w:t>
      </w:r>
      <w:r w:rsidR="00BF43E0" w:rsidRPr="00810197">
        <w:rPr>
          <w:rFonts w:ascii="Palatino Linotype" w:hAnsi="Palatino Linotype" w:cs="Arial"/>
          <w:sz w:val="24"/>
          <w:szCs w:val="24"/>
        </w:rPr>
        <w:t xml:space="preserve">ó </w:t>
      </w:r>
      <w:r w:rsidR="00810197" w:rsidRPr="00810197">
        <w:rPr>
          <w:rFonts w:ascii="Palatino Linotype" w:hAnsi="Palatino Linotype" w:cs="Arial"/>
          <w:sz w:val="24"/>
          <w:szCs w:val="24"/>
        </w:rPr>
        <w:t>Sobreseer</w:t>
      </w:r>
      <w:r w:rsidR="00810197" w:rsidRPr="00810197">
        <w:rPr>
          <w:rFonts w:ascii="Palatino Linotype" w:hAnsi="Palatino Linotype" w:cs="Arial"/>
        </w:rPr>
        <w:t xml:space="preserve"> porque al modificar la respuesta el recurso de revisión</w:t>
      </w:r>
      <w:r w:rsidR="00810197">
        <w:rPr>
          <w:rFonts w:ascii="Palatino Linotype" w:hAnsi="Palatino Linotype" w:cs="Arial"/>
        </w:rPr>
        <w:t xml:space="preserve"> quedo sin materia. </w:t>
      </w:r>
    </w:p>
    <w:p w:rsidR="00810197" w:rsidRPr="00810197" w:rsidRDefault="00810197" w:rsidP="00810197">
      <w:pPr>
        <w:pStyle w:val="Prrafodelista"/>
        <w:rPr>
          <w:rFonts w:ascii="Palatino Linotype" w:hAnsi="Palatino Linotype" w:cs="Arial"/>
          <w:sz w:val="24"/>
          <w:szCs w:val="24"/>
        </w:rPr>
      </w:pPr>
    </w:p>
    <w:p w:rsidR="0046491C" w:rsidRDefault="000B7C6E" w:rsidP="007A378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w:t>
      </w:r>
      <w:r w:rsidR="00810197">
        <w:rPr>
          <w:rFonts w:ascii="Palatino Linotype" w:hAnsi="Palatino Linotype" w:cs="Arial"/>
          <w:sz w:val="24"/>
          <w:szCs w:val="24"/>
        </w:rPr>
        <w:t xml:space="preserve">en primer término </w:t>
      </w:r>
      <w:r w:rsidR="0046491C" w:rsidRPr="00072966">
        <w:rPr>
          <w:rFonts w:ascii="Palatino Linotype" w:hAnsi="Palatino Linotype" w:cs="Arial"/>
          <w:sz w:val="24"/>
          <w:szCs w:val="24"/>
        </w:rPr>
        <w:t>del hecho de que se haya invocado la figura de actos consentidos en el presente asunto</w:t>
      </w:r>
      <w:r w:rsidR="00616B05">
        <w:rPr>
          <w:rFonts w:ascii="Palatino Linotype" w:hAnsi="Palatino Linotype" w:cs="Arial"/>
          <w:sz w:val="24"/>
          <w:szCs w:val="24"/>
        </w:rPr>
        <w:t xml:space="preserve"> así como del pronunciamiento simple</w:t>
      </w:r>
      <w:r w:rsidR="0046491C" w:rsidRPr="00072966">
        <w:rPr>
          <w:rFonts w:ascii="Palatino Linotype" w:hAnsi="Palatino Linotype" w:cs="Arial"/>
          <w:sz w:val="24"/>
          <w:szCs w:val="24"/>
        </w:rPr>
        <w:t>, resultando del todo innecesario hacer referencia a dicha figura, lo cual he manifestado en diversas ocasiones señalando que no deben invocarse en el derecho de</w:t>
      </w:r>
      <w:r w:rsidR="00810197">
        <w:rPr>
          <w:rFonts w:ascii="Palatino Linotype" w:hAnsi="Palatino Linotype" w:cs="Arial"/>
          <w:sz w:val="24"/>
          <w:szCs w:val="24"/>
        </w:rPr>
        <w:t xml:space="preserve"> acceso a la información pública y en segundo </w:t>
      </w:r>
      <w:r w:rsidR="007B476C">
        <w:rPr>
          <w:rFonts w:ascii="Palatino Linotype" w:hAnsi="Palatino Linotype" w:cs="Arial"/>
          <w:sz w:val="24"/>
          <w:szCs w:val="24"/>
        </w:rPr>
        <w:t>término respecto a la reserva señalada por el Sujeto Obligado</w:t>
      </w:r>
      <w:r w:rsidR="0046491C" w:rsidRPr="00072966">
        <w:rPr>
          <w:rFonts w:ascii="Palatino Linotype" w:hAnsi="Palatino Linotype" w:cs="Arial"/>
          <w:sz w:val="24"/>
          <w:szCs w:val="24"/>
        </w:rPr>
        <w:t>.</w:t>
      </w:r>
    </w:p>
    <w:p w:rsidR="008A3D2D" w:rsidRPr="00072966" w:rsidRDefault="008A3D2D" w:rsidP="00DF7B12">
      <w:pPr>
        <w:pStyle w:val="Prrafodelista"/>
        <w:spacing w:before="240" w:after="0" w:line="240" w:lineRule="auto"/>
        <w:ind w:left="360" w:right="49"/>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31016634"/>
      <w:r w:rsidRPr="00072966">
        <w:rPr>
          <w:rFonts w:ascii="Palatino Linotype" w:hAnsi="Palatino Linotype"/>
          <w:b/>
          <w:color w:val="auto"/>
          <w:sz w:val="24"/>
          <w:szCs w:val="24"/>
        </w:rPr>
        <w:t>De los requerimientos planteados en el recurso de revisión.</w:t>
      </w:r>
      <w:bookmarkEnd w:id="1"/>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D11CB8"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Default="005D79D3" w:rsidP="00FC2009">
      <w:pPr>
        <w:pStyle w:val="Prrafodelista"/>
        <w:autoSpaceDE w:val="0"/>
        <w:autoSpaceDN w:val="0"/>
        <w:adjustRightInd w:val="0"/>
        <w:spacing w:line="360" w:lineRule="auto"/>
        <w:ind w:left="993" w:right="758"/>
        <w:contextualSpacing w:val="0"/>
        <w:jc w:val="both"/>
        <w:rPr>
          <w:rFonts w:ascii="Palatino Linotype" w:hAnsi="Palatino Linotype"/>
          <w:i/>
          <w:color w:val="000000"/>
        </w:rPr>
      </w:pPr>
      <w:r w:rsidRPr="005D79D3">
        <w:rPr>
          <w:rFonts w:ascii="Palatino Linotype" w:hAnsi="Palatino Linotype"/>
          <w:i/>
          <w:color w:val="000000"/>
        </w:rPr>
        <w:t>“</w:t>
      </w:r>
      <w:r w:rsidR="00A96F87" w:rsidRPr="00A96F87">
        <w:rPr>
          <w:rFonts w:ascii="Palatino Linotype" w:hAnsi="Palatino Linotype"/>
          <w:i/>
          <w:color w:val="000000"/>
        </w:rPr>
        <w:t xml:space="preserve">“EL 16 DE AGOSTO DEL AÑO EN CURSO EL C. GOBERNADOR DEL ESTADO DE MEXICO INAUGURO “el Primer Congreso Internacional de </w:t>
      </w:r>
      <w:r w:rsidR="00A96F87" w:rsidRPr="00A96F87">
        <w:rPr>
          <w:rFonts w:ascii="Palatino Linotype" w:hAnsi="Palatino Linotype"/>
          <w:i/>
          <w:color w:val="000000"/>
        </w:rPr>
        <w:lastRenderedPageBreak/>
        <w:t>Prevención Social de la Violencia y Delincuencia” E INFORMO QUE “SE HAN DIAGNOSTICADO “140 colonias de 28 municipios mexiquenses, en los cuales se concentran más del 70 por ciento de los delitos que se cometen en la entidad” POR LO QUE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SE ME ENVIE VIA SAIMEX LA INFORMACIÓN PÚBLICA SIGUIENTE; 1.- EL DIAGNOSTICO O DIAGNOSTICOS REALIZADOS EN LAS 140 colonias de 28 municipios mexiquenses. 2.- LA ESTRATEGIA O ESTRATEGIAS QUE SE LLEVARAN A CABO EN ESTAS 140 colonias de 28 municipios mexiquenses.”(</w:t>
      </w:r>
      <w:proofErr w:type="gramStart"/>
      <w:r w:rsidR="00A96F87" w:rsidRPr="00A96F87">
        <w:rPr>
          <w:rFonts w:ascii="Palatino Linotype" w:hAnsi="Palatino Linotype"/>
          <w:i/>
          <w:color w:val="000000"/>
        </w:rPr>
        <w:t>sic</w:t>
      </w:r>
      <w:proofErr w:type="gramEnd"/>
      <w:r w:rsidR="00A96F87" w:rsidRPr="00A96F87">
        <w:rPr>
          <w:rFonts w:ascii="Palatino Linotype" w:hAnsi="Palatino Linotype"/>
          <w:i/>
          <w:color w:val="000000"/>
        </w:rPr>
        <w:t>)</w:t>
      </w:r>
    </w:p>
    <w:p w:rsidR="00A96F87" w:rsidRPr="00A96F87" w:rsidRDefault="00AE4797" w:rsidP="00A96F87">
      <w:pPr>
        <w:pStyle w:val="Prrafodelista"/>
        <w:numPr>
          <w:ilvl w:val="0"/>
          <w:numId w:val="1"/>
        </w:numPr>
        <w:spacing w:before="240" w:line="360" w:lineRule="auto"/>
        <w:jc w:val="both"/>
        <w:rPr>
          <w:rFonts w:ascii="Palatino Linotype" w:eastAsia="Times New Roman" w:hAnsi="Palatino Linotype" w:cs="Times New Roman"/>
          <w:i/>
          <w:sz w:val="24"/>
          <w:szCs w:val="24"/>
          <w:lang w:val="es-ES_tradnl" w:eastAsia="es-ES"/>
        </w:rPr>
      </w:pPr>
      <w:r w:rsidRPr="0042345D">
        <w:rPr>
          <w:rFonts w:ascii="Palatino Linotype" w:hAnsi="Palatino Linotype" w:cs="Arial"/>
          <w:sz w:val="24"/>
          <w:szCs w:val="24"/>
        </w:rPr>
        <w:t xml:space="preserve">El Sujeto Obligado </w:t>
      </w:r>
      <w:r w:rsidR="00A96F87" w:rsidRPr="00A96F87">
        <w:rPr>
          <w:rFonts w:ascii="Palatino Linotype" w:hAnsi="Palatino Linotype"/>
          <w:color w:val="000000"/>
        </w:rPr>
        <w:t xml:space="preserve">a través de la Unidad de </w:t>
      </w:r>
      <w:r w:rsidR="00A96F87" w:rsidRPr="002648E8">
        <w:rPr>
          <w:rFonts w:ascii="Palatino Linotype" w:hAnsi="Palatino Linotype" w:cs="Arial"/>
          <w:sz w:val="24"/>
          <w:szCs w:val="24"/>
        </w:rPr>
        <w:t xml:space="preserve">Transparencia </w:t>
      </w:r>
      <w:r w:rsidR="002648E8">
        <w:rPr>
          <w:rFonts w:ascii="Palatino Linotype" w:hAnsi="Palatino Linotype" w:cs="Arial"/>
          <w:sz w:val="24"/>
          <w:szCs w:val="24"/>
        </w:rPr>
        <w:t xml:space="preserve">en respuesta </w:t>
      </w:r>
      <w:r w:rsidR="00A96F87" w:rsidRPr="002648E8">
        <w:rPr>
          <w:rFonts w:ascii="Palatino Linotype" w:hAnsi="Palatino Linotype" w:cs="Arial"/>
          <w:sz w:val="24"/>
          <w:szCs w:val="24"/>
        </w:rPr>
        <w:t xml:space="preserve">brindo un panorama general de la Estrategia de Atención Prioritaria anunciada por el Gobernados Constitucional del Estado de México con el objeto de combatir la delincuencia de manera integral, así como los delitos de acto impacto, con la finalidad de disminuir y prevenir la comisión de ilícitos en 140 colonias de 28 municipios del Estado de México, en los que se identificó el 83% de la incidencia delictiva. Asimismo, indicó que no existe posibilidad de proporcionar los diagnósticos elaborados en los municipios por contener información sensible, considerada como reservada y confidencial dada la fuente de donde provienen, </w:t>
      </w:r>
      <w:r w:rsidR="00A96F87" w:rsidRPr="002648E8">
        <w:rPr>
          <w:rFonts w:ascii="Palatino Linotype" w:hAnsi="Palatino Linotype" w:cs="Arial"/>
          <w:sz w:val="24"/>
          <w:szCs w:val="24"/>
        </w:rPr>
        <w:lastRenderedPageBreak/>
        <w:t>su contenido y pertenencia al Sistema Estatal de Seguridad Pública, esto en términos de la Ley de Seguridad del Estado de México.</w:t>
      </w:r>
    </w:p>
    <w:p w:rsidR="00FC2009" w:rsidRPr="00FC2009" w:rsidRDefault="00FC2009" w:rsidP="00FC2009">
      <w:pPr>
        <w:pStyle w:val="Prrafodelista"/>
        <w:spacing w:after="0" w:line="240" w:lineRule="auto"/>
        <w:ind w:left="360"/>
        <w:jc w:val="both"/>
        <w:rPr>
          <w:rFonts w:ascii="Palatino Linotype" w:eastAsia="Times New Roman" w:hAnsi="Palatino Linotype" w:cs="Times New Roman"/>
          <w:i/>
          <w:sz w:val="18"/>
          <w:szCs w:val="24"/>
          <w:lang w:val="es-ES_tradnl" w:eastAsia="es-ES"/>
        </w:rPr>
      </w:pPr>
    </w:p>
    <w:p w:rsidR="00FC2009" w:rsidRPr="00FC2009"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FC2009">
        <w:rPr>
          <w:rFonts w:ascii="Palatino Linotype" w:hAnsi="Palatino Linotype" w:cs="Arial"/>
          <w:sz w:val="24"/>
          <w:szCs w:val="24"/>
        </w:rPr>
        <w:t>el</w:t>
      </w:r>
      <w:r w:rsidR="00AE4797" w:rsidRPr="0095525C">
        <w:rPr>
          <w:rFonts w:ascii="Palatino Linotype" w:hAnsi="Palatino Linotype" w:cs="Arial"/>
          <w:sz w:val="24"/>
          <w:szCs w:val="24"/>
        </w:rPr>
        <w:t xml:space="preserve"> particular </w:t>
      </w:r>
      <w:r w:rsidR="00FC03CA">
        <w:rPr>
          <w:rFonts w:ascii="Palatino Linotype" w:hAnsi="Palatino Linotype" w:cs="Arial"/>
          <w:sz w:val="24"/>
          <w:szCs w:val="24"/>
        </w:rPr>
        <w:t xml:space="preserve">en su recurso de revisión </w:t>
      </w:r>
      <w:r w:rsidR="00AE4797" w:rsidRPr="0095525C">
        <w:rPr>
          <w:rFonts w:ascii="Palatino Linotype" w:hAnsi="Palatino Linotype" w:cs="Arial"/>
          <w:sz w:val="24"/>
          <w:szCs w:val="24"/>
        </w:rPr>
        <w:t>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w:t>
      </w:r>
      <w:r w:rsidR="00FC03CA">
        <w:rPr>
          <w:rFonts w:ascii="Palatino Linotype" w:hAnsi="Palatino Linotype" w:cs="Arial"/>
          <w:sz w:val="24"/>
          <w:szCs w:val="24"/>
        </w:rPr>
        <w:t xml:space="preserve">lo siguiente: </w:t>
      </w:r>
    </w:p>
    <w:p w:rsidR="00FC2009" w:rsidRPr="00D04234" w:rsidRDefault="00FC2009" w:rsidP="00FC03CA">
      <w:pPr>
        <w:spacing w:before="240"/>
        <w:ind w:left="709"/>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2009" w:rsidRPr="00D04234" w:rsidRDefault="00FC2009" w:rsidP="00FC03CA">
      <w:pPr>
        <w:spacing w:line="240" w:lineRule="auto"/>
        <w:ind w:left="1134" w:right="850"/>
        <w:jc w:val="both"/>
        <w:rPr>
          <w:rFonts w:ascii="Palatino Linotype" w:hAnsi="Palatino Linotype" w:cs="Arial"/>
          <w:i/>
        </w:rPr>
      </w:pPr>
      <w:r w:rsidRPr="00D04234">
        <w:rPr>
          <w:rFonts w:ascii="Palatino Linotype" w:hAnsi="Palatino Linotype" w:cs="Arial"/>
          <w:i/>
        </w:rPr>
        <w:t>“</w:t>
      </w:r>
      <w:r w:rsidR="002648E8" w:rsidRPr="002648E8">
        <w:rPr>
          <w:rFonts w:ascii="Palatino Linotype" w:hAnsi="Palatino Linotype" w:cs="Arial"/>
          <w:i/>
        </w:rPr>
        <w:t>“La clasificación de parte d</w:t>
      </w:r>
      <w:r w:rsidR="002648E8">
        <w:rPr>
          <w:rFonts w:ascii="Palatino Linotype" w:hAnsi="Palatino Linotype" w:cs="Arial"/>
          <w:i/>
        </w:rPr>
        <w:t>e la información que solicito</w:t>
      </w:r>
      <w:proofErr w:type="gramStart"/>
      <w:r w:rsidR="002648E8">
        <w:rPr>
          <w:rFonts w:ascii="Palatino Linotype" w:hAnsi="Palatino Linotype" w:cs="Arial"/>
          <w:i/>
        </w:rPr>
        <w:t>”</w:t>
      </w:r>
      <w:r w:rsidRPr="00D04234">
        <w:rPr>
          <w:rFonts w:ascii="Palatino Linotype" w:hAnsi="Palatino Linotype" w:cs="Arial"/>
          <w:i/>
        </w:rPr>
        <w:t>(</w:t>
      </w:r>
      <w:proofErr w:type="gramEnd"/>
      <w:r w:rsidRPr="00D04234">
        <w:rPr>
          <w:rFonts w:ascii="Palatino Linotype" w:hAnsi="Palatino Linotype" w:cs="Arial"/>
          <w:i/>
        </w:rPr>
        <w:t>Sic)</w:t>
      </w:r>
    </w:p>
    <w:p w:rsidR="00FC2009" w:rsidRPr="00BE6D77" w:rsidRDefault="00FC2009" w:rsidP="00FC03CA">
      <w:pPr>
        <w:spacing w:before="240"/>
        <w:ind w:left="709"/>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FC2009" w:rsidRPr="004657BE" w:rsidRDefault="00FC2009" w:rsidP="00FC03CA">
      <w:pPr>
        <w:spacing w:line="240" w:lineRule="auto"/>
        <w:ind w:left="1134" w:right="850"/>
        <w:jc w:val="both"/>
        <w:rPr>
          <w:rFonts w:ascii="Palatino Linotype" w:hAnsi="Palatino Linotype" w:cs="Arial"/>
          <w:i/>
        </w:rPr>
      </w:pPr>
      <w:r w:rsidRPr="004657BE">
        <w:rPr>
          <w:rFonts w:ascii="Palatino Linotype" w:hAnsi="Palatino Linotype" w:cs="Arial"/>
          <w:i/>
        </w:rPr>
        <w:t>“</w:t>
      </w:r>
      <w:r w:rsidR="002648E8" w:rsidRPr="002648E8">
        <w:rPr>
          <w:rFonts w:ascii="Palatino Linotype" w:hAnsi="Palatino Linotype" w:cs="Arial"/>
          <w:i/>
        </w:rPr>
        <w:t xml:space="preserve">Se clasifican los diagnósticos elaborados y las 140 colonias como información reservada y confidencial omitiendo lo sostenido por el C. Gobernador del Estado de México en la inauguración del CONGRESO INTERNACIONAL DE PREVENCIÓN SOCIAL DE LA VIOLENCIA Y DELINCUENCIA " Uno de los mayores compromisos de la administración estatal es la seguridad y tranquilidad de los mexiquenses, para ello, se trabaja de la mano con la sociedad para emprender acciones en materia de prevención del delito.." también detallo " "que diversas experiencias de países como Brasil, Colombia y Chile han demostrado que una seguridad ciudadana comienza con la recuperación de espacios públicos que sean identificados como lugares que promueven la violencia y la delincuencia." De </w:t>
      </w:r>
      <w:proofErr w:type="spellStart"/>
      <w:r w:rsidR="002648E8" w:rsidRPr="002648E8">
        <w:rPr>
          <w:rFonts w:ascii="Palatino Linotype" w:hAnsi="Palatino Linotype" w:cs="Arial"/>
          <w:i/>
        </w:rPr>
        <w:t>ahi</w:t>
      </w:r>
      <w:proofErr w:type="spellEnd"/>
      <w:r w:rsidR="002648E8" w:rsidRPr="002648E8">
        <w:rPr>
          <w:rFonts w:ascii="Palatino Linotype" w:hAnsi="Palatino Linotype" w:cs="Arial"/>
          <w:i/>
        </w:rPr>
        <w:t xml:space="preserve"> que resulte fundamental conocer los DIAGNÓSTICOS que se realizaron y en que comunidades para que junto con los 3 ámbitos de gobierno la sociedad mexiquense pueda participar en las soluciones</w:t>
      </w:r>
      <w:r w:rsidRPr="00217292">
        <w:rPr>
          <w:rFonts w:ascii="Palatino Linotype" w:hAnsi="Palatino Linotype" w:cs="Arial"/>
          <w:i/>
        </w:rPr>
        <w:t>.</w:t>
      </w:r>
      <w:r w:rsidRPr="004657BE">
        <w:rPr>
          <w:rFonts w:ascii="Palatino Linotype" w:hAnsi="Palatino Linotype" w:cs="Arial"/>
          <w:i/>
        </w:rPr>
        <w:t>” (Sic)</w:t>
      </w:r>
    </w:p>
    <w:p w:rsidR="0046491C" w:rsidRPr="00746812" w:rsidRDefault="00B56CFE" w:rsidP="0095525C">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E</w:t>
      </w:r>
      <w:r w:rsidR="0046491C" w:rsidRPr="00746812">
        <w:rPr>
          <w:rFonts w:ascii="Palatino Linotype" w:hAnsi="Palatino Linotype" w:cs="Arial"/>
          <w:sz w:val="24"/>
          <w:szCs w:val="24"/>
        </w:rPr>
        <w:t xml:space="preserve">s de </w:t>
      </w:r>
      <w:r w:rsidR="0046491C" w:rsidRPr="0095525C">
        <w:rPr>
          <w:rFonts w:ascii="Palatino Linotype" w:eastAsia="Times New Roman" w:hAnsi="Palatino Linotype" w:cs="Times New Roman"/>
          <w:color w:val="000000"/>
          <w:sz w:val="24"/>
          <w:szCs w:val="24"/>
          <w:lang w:val="es-ES" w:eastAsia="es-ES"/>
        </w:rPr>
        <w:t>destacar</w:t>
      </w:r>
      <w:r>
        <w:rPr>
          <w:rFonts w:ascii="Palatino Linotype" w:hAnsi="Palatino Linotype" w:cs="Arial"/>
          <w:sz w:val="24"/>
          <w:szCs w:val="24"/>
        </w:rPr>
        <w:t xml:space="preserve"> </w:t>
      </w:r>
      <w:r w:rsidR="00AE4797" w:rsidRPr="00746812">
        <w:rPr>
          <w:rFonts w:ascii="Palatino Linotype" w:hAnsi="Palatino Linotype" w:cs="Arial"/>
          <w:sz w:val="24"/>
          <w:szCs w:val="24"/>
        </w:rPr>
        <w:t>que</w:t>
      </w:r>
      <w:r>
        <w:rPr>
          <w:rFonts w:ascii="Palatino Linotype" w:hAnsi="Palatino Linotype" w:cs="Arial"/>
          <w:sz w:val="24"/>
          <w:szCs w:val="24"/>
        </w:rPr>
        <w:t xml:space="preserve"> </w:t>
      </w:r>
      <w:r w:rsidR="0046491C" w:rsidRPr="00746812">
        <w:rPr>
          <w:rFonts w:ascii="Palatino Linotype" w:hAnsi="Palatino Linotype" w:cs="Arial"/>
          <w:sz w:val="24"/>
          <w:szCs w:val="24"/>
        </w:rPr>
        <w:t xml:space="preserve">en el estudio y desarrollo de dicha resolución fueron invocados los llamados </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actos consentidos</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 tal y como se observa en las siguientes líneas de la resolución en comento:</w:t>
      </w:r>
    </w:p>
    <w:p w:rsidR="002648E8" w:rsidRDefault="0069498B" w:rsidP="00FE5690">
      <w:pPr>
        <w:spacing w:before="240" w:after="240" w:line="360" w:lineRule="auto"/>
        <w:ind w:left="567" w:right="616"/>
        <w:jc w:val="both"/>
        <w:rPr>
          <w:rFonts w:ascii="Palatino Linotype" w:hAnsi="Palatino Linotype" w:cs="Arial"/>
          <w:i/>
        </w:rPr>
      </w:pPr>
      <w:r w:rsidRPr="00072966">
        <w:rPr>
          <w:rFonts w:ascii="Palatino Linotype" w:hAnsi="Palatino Linotype" w:cs="Arial"/>
          <w:i/>
        </w:rPr>
        <w:t>“</w:t>
      </w:r>
      <w:r w:rsidR="00FE5690">
        <w:rPr>
          <w:rFonts w:ascii="Palatino Linotype" w:hAnsi="Palatino Linotype" w:cs="Arial"/>
          <w:i/>
        </w:rPr>
        <w:t>…</w:t>
      </w:r>
      <w:r w:rsidR="002648E8" w:rsidRPr="002648E8">
        <w:rPr>
          <w:rFonts w:ascii="Palatino Linotype" w:hAnsi="Palatino Linotype" w:cs="Arial"/>
          <w:i/>
        </w:rPr>
        <w:t xml:space="preserve">cabe precisar que el particular no se inconformó de la respuesta proporcionada al requerimiento relativo a la estrategia o estrategias que se llevaran a cabo en estas 140 colonias de 28 municipios mexiquenses, razón por la cual este Pleno no se pronunciara </w:t>
      </w:r>
      <w:r w:rsidR="002648E8" w:rsidRPr="002648E8">
        <w:rPr>
          <w:rFonts w:ascii="Palatino Linotype" w:hAnsi="Palatino Linotype" w:cs="Arial"/>
          <w:i/>
        </w:rPr>
        <w:lastRenderedPageBreak/>
        <w:t>al respecto, toda vez que se entiende que el Recurrente se encuentra conforme con la documentación que le fue entregada, ya que no realizó manifestaciones que tendieran a demostrar lo contrario; por lo que, no pueden producirse efectos jurídicos tendentes  a revocar, confirmar o modificar el acto reclamado ya que se infiere su consentimiento ante la falta de impugnación eficaz</w:t>
      </w:r>
      <w:r w:rsidR="002648E8">
        <w:rPr>
          <w:rFonts w:ascii="Palatino Linotype" w:hAnsi="Palatino Linotype" w:cs="Arial"/>
          <w:i/>
        </w:rPr>
        <w:t>.</w:t>
      </w:r>
    </w:p>
    <w:p w:rsidR="002648E8" w:rsidRDefault="002648E8" w:rsidP="00FE5690">
      <w:pPr>
        <w:spacing w:before="240" w:after="240" w:line="360" w:lineRule="auto"/>
        <w:ind w:left="567" w:right="616"/>
        <w:jc w:val="both"/>
        <w:rPr>
          <w:rFonts w:ascii="Palatino Linotype" w:hAnsi="Palatino Linotype" w:cs="Arial"/>
          <w:i/>
        </w:rPr>
      </w:pPr>
      <w:r w:rsidRPr="002648E8">
        <w:rPr>
          <w:rFonts w:ascii="Palatino Linotype" w:hAnsi="Palatino Linotype" w:cs="Arial"/>
          <w:i/>
        </w:rPr>
        <w:t>Sirven de apoyo por analogía, la Tesis Jurisprudencial Número 3ª./J.7/91, publicada en el Semanario Judicial de la Federación y su Gaceta bajo el número de registro 174,177 y la tesis jurisprudencial número 176,608 del Semanario Judicial de la Federación y su Gaceta, que establecen lo siguiente:</w:t>
      </w:r>
    </w:p>
    <w:p w:rsidR="00FE5690" w:rsidRPr="00FE5690" w:rsidRDefault="00FE5690" w:rsidP="00FE5690">
      <w:pPr>
        <w:spacing w:before="240" w:after="240" w:line="360" w:lineRule="auto"/>
        <w:ind w:left="567" w:right="616"/>
        <w:jc w:val="both"/>
        <w:rPr>
          <w:rFonts w:ascii="Palatino Linotype" w:hAnsi="Palatino Linotype" w:cs="Arial"/>
          <w:i/>
        </w:rPr>
      </w:pPr>
      <w:r w:rsidRPr="00FE5690">
        <w:rPr>
          <w:rFonts w:ascii="Palatino Linotype" w:hAnsi="Palatino Linotype" w:cs="Arial"/>
          <w:i/>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56CFE" w:rsidRDefault="002E58A7" w:rsidP="00FE5690">
      <w:pPr>
        <w:spacing w:before="240" w:after="240" w:line="360" w:lineRule="auto"/>
        <w:ind w:left="567" w:right="616"/>
        <w:jc w:val="both"/>
        <w:rPr>
          <w:rFonts w:ascii="Palatino Linotype" w:hAnsi="Palatino Linotype" w:cs="Arial"/>
          <w:i/>
        </w:rPr>
      </w:pPr>
      <w:r w:rsidRPr="00FE5690">
        <w:rPr>
          <w:rFonts w:ascii="Palatino Linotype" w:hAnsi="Palatino Linotype" w:cs="Arial"/>
          <w:i/>
        </w:rPr>
        <w:t xml:space="preserve"> </w:t>
      </w:r>
      <w:r w:rsidR="00FE5690" w:rsidRPr="00FE5690">
        <w:rPr>
          <w:rFonts w:ascii="Palatino Linotype" w:hAnsi="Palatino Linotype" w:cs="Arial"/>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E58A7" w:rsidRPr="002E58A7" w:rsidRDefault="002E58A7" w:rsidP="002E58A7">
      <w:pPr>
        <w:spacing w:before="240" w:after="240" w:line="360" w:lineRule="auto"/>
        <w:ind w:left="567" w:right="616"/>
        <w:jc w:val="both"/>
        <w:rPr>
          <w:rFonts w:ascii="Palatino Linotype" w:hAnsi="Palatino Linotype" w:cs="Arial"/>
          <w:i/>
        </w:rPr>
      </w:pPr>
      <w:r w:rsidRPr="002E58A7">
        <w:rPr>
          <w:rFonts w:ascii="Palatino Linotype" w:hAnsi="Palatino Linotype" w:cs="Arial"/>
          <w:i/>
        </w:rPr>
        <w:lastRenderedPageBreak/>
        <w:t>En tal consideración, y toda vez que la Recurrente no impugnó en el momento procesal oportuno el pronunciamiento del Sujeto Obligado, se colige que los extremos de la mismos fueron actos consentidos de manera tacita, ello de conformidad con el artículo 195 fracción IV del Código de Procedimientos Administrativos del Estado de México  que prevé que es improcedente el recurso contra actos consentidos tácitamente, robustece lo dicho la jurisprudencia siguiente:</w:t>
      </w:r>
    </w:p>
    <w:p w:rsidR="002E58A7" w:rsidRDefault="002E58A7" w:rsidP="002E58A7">
      <w:pPr>
        <w:spacing w:before="240" w:after="240" w:line="360" w:lineRule="auto"/>
        <w:ind w:left="567" w:right="616"/>
        <w:jc w:val="both"/>
        <w:rPr>
          <w:rFonts w:ascii="Palatino Linotype" w:hAnsi="Palatino Linotype" w:cs="Arial"/>
          <w:i/>
        </w:rPr>
      </w:pPr>
      <w:r w:rsidRPr="002E58A7">
        <w:rPr>
          <w:rFonts w:ascii="Palatino Linotype" w:hAnsi="Palatino Linotype" w:cs="Arial"/>
          <w:i/>
        </w:rPr>
        <w:t>“ACTOS CONSENTIDOS TACITAMENTE. Se presumen así, para los efectos del amparo, los actos del orden civil y administrativo, que no hubieren sido reclamados en esa vía dentro de los plazos que la ley señala.”</w:t>
      </w:r>
    </w:p>
    <w:p w:rsidR="00AD16A9" w:rsidRPr="00AD16A9" w:rsidRDefault="00B56CFE" w:rsidP="00DF7B12">
      <w:pPr>
        <w:spacing w:before="240" w:after="0" w:line="360" w:lineRule="auto"/>
        <w:ind w:left="567" w:right="616"/>
        <w:jc w:val="both"/>
        <w:rPr>
          <w:rFonts w:ascii="Palatino Linotype" w:hAnsi="Palatino Linotype" w:cs="Arial"/>
          <w:i/>
          <w:lang w:val="es-ES"/>
        </w:rPr>
      </w:pPr>
      <w:r>
        <w:rPr>
          <w:rFonts w:ascii="Palatino Linotype" w:hAnsi="Palatino Linotype" w:cs="Arial"/>
          <w:i/>
          <w:lang w:val="es-ES"/>
        </w:rPr>
        <w:t>.</w:t>
      </w:r>
      <w:r w:rsidR="00987663" w:rsidRPr="00987663">
        <w:rPr>
          <w:rFonts w:ascii="Palatino Linotype" w:hAnsi="Palatino Linotype" w:cs="Arial"/>
          <w:i/>
          <w:lang w:val="es-ES"/>
        </w:rPr>
        <w:t>.</w:t>
      </w:r>
      <w:r w:rsidR="00FD4693" w:rsidRPr="00FD4693">
        <w:rPr>
          <w:rFonts w:ascii="Palatino Linotype" w:hAnsi="Palatino Linotype" w:cs="Arial"/>
          <w:i/>
          <w:lang w:val="es-ES"/>
        </w:rPr>
        <w:t>.”</w:t>
      </w:r>
    </w:p>
    <w:p w:rsidR="0095525C" w:rsidRDefault="0046491C" w:rsidP="00DF7B12">
      <w:pPr>
        <w:pStyle w:val="Prrafodelista"/>
        <w:numPr>
          <w:ilvl w:val="0"/>
          <w:numId w:val="1"/>
        </w:numPr>
        <w:spacing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Derivado de </w:t>
      </w:r>
      <w:r w:rsidRPr="00546812">
        <w:rPr>
          <w:rFonts w:ascii="Palatino Linotype" w:eastAsia="Times New Roman" w:hAnsi="Palatino Linotype" w:cs="Times New Roman"/>
          <w:color w:val="000000"/>
          <w:sz w:val="24"/>
          <w:szCs w:val="24"/>
          <w:lang w:val="es-ES" w:eastAsia="es-ES"/>
        </w:rPr>
        <w:t>lo</w:t>
      </w:r>
      <w:r w:rsidRPr="00546812">
        <w:rPr>
          <w:rFonts w:ascii="Palatino Linotype" w:hAnsi="Palatino Linotype" w:cs="Arial"/>
          <w:sz w:val="24"/>
          <w:szCs w:val="24"/>
        </w:rPr>
        <w:t xml:space="preserve"> transcrito con anterioridad, considero que la</w:t>
      </w:r>
      <w:r w:rsidR="00260D6C" w:rsidRPr="00546812">
        <w:rPr>
          <w:rFonts w:ascii="Palatino Linotype" w:hAnsi="Palatino Linotype" w:cs="Arial"/>
          <w:sz w:val="24"/>
          <w:szCs w:val="24"/>
        </w:rPr>
        <w:t xml:space="preserve"> incorporación de dicho argumento</w:t>
      </w:r>
      <w:r w:rsidRPr="00546812">
        <w:rPr>
          <w:rFonts w:ascii="Palatino Linotype" w:hAnsi="Palatino Linotype" w:cs="Arial"/>
          <w:sz w:val="24"/>
          <w:szCs w:val="24"/>
        </w:rPr>
        <w:t xml:space="preserve"> en la resolución en comento resulta a todas luces innecesari</w:t>
      </w:r>
      <w:r w:rsidR="00E61AB8" w:rsidRPr="00546812">
        <w:rPr>
          <w:rFonts w:ascii="Palatino Linotype" w:hAnsi="Palatino Linotype" w:cs="Arial"/>
          <w:sz w:val="24"/>
          <w:szCs w:val="24"/>
        </w:rPr>
        <w:t xml:space="preserve">o y además no da </w:t>
      </w:r>
      <w:r w:rsidRPr="00546812">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Pr="002E58A7" w:rsidRDefault="00FE5690" w:rsidP="002E58A7">
      <w:pPr>
        <w:pStyle w:val="Prrafodelista"/>
        <w:spacing w:after="0" w:line="240" w:lineRule="auto"/>
        <w:ind w:left="360" w:right="49"/>
        <w:jc w:val="both"/>
        <w:rPr>
          <w:rFonts w:ascii="Palatino Linotype" w:hAnsi="Palatino Linotype" w:cs="Arial"/>
          <w:sz w:val="16"/>
          <w:szCs w:val="24"/>
        </w:rPr>
      </w:pPr>
    </w:p>
    <w:p w:rsidR="0046491C" w:rsidRPr="00DF7B12" w:rsidRDefault="0046491C" w:rsidP="00DF7B12">
      <w:pPr>
        <w:pStyle w:val="Ttulo1"/>
        <w:numPr>
          <w:ilvl w:val="0"/>
          <w:numId w:val="12"/>
        </w:numPr>
        <w:spacing w:line="360" w:lineRule="auto"/>
        <w:rPr>
          <w:rFonts w:ascii="Palatino Linotype" w:hAnsi="Palatino Linotype"/>
          <w:b/>
          <w:color w:val="auto"/>
          <w:sz w:val="24"/>
          <w:szCs w:val="24"/>
        </w:rPr>
      </w:pPr>
      <w:bookmarkStart w:id="2" w:name="_Toc531016635"/>
      <w:r w:rsidRPr="00DF7B12">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DF7B12" w:rsidRDefault="0046491C" w:rsidP="00DF7B12">
      <w:pPr>
        <w:pStyle w:val="Prrafodelista"/>
        <w:spacing w:after="0" w:line="240" w:lineRule="auto"/>
        <w:ind w:left="1080"/>
        <w:jc w:val="both"/>
        <w:rPr>
          <w:rFonts w:ascii="Palatino Linotype" w:hAnsi="Palatino Linotype" w:cs="Arial"/>
          <w:b/>
          <w:sz w:val="14"/>
          <w:szCs w:val="24"/>
        </w:rPr>
      </w:pPr>
    </w:p>
    <w:p w:rsidR="009C43B4"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eastAsia="Calibri" w:hAnsi="Palatino Linotype" w:cs="Times New Roman"/>
          <w:sz w:val="24"/>
          <w:szCs w:val="24"/>
          <w:lang w:val="es-ES" w:eastAsia="es-ES"/>
        </w:rPr>
        <w:t>En</w:t>
      </w:r>
      <w:r w:rsidRPr="00546812">
        <w:rPr>
          <w:rFonts w:ascii="Palatino Linotype" w:hAnsi="Palatino Linotype" w:cs="Arial"/>
          <w:sz w:val="24"/>
          <w:szCs w:val="24"/>
        </w:rPr>
        <w:t xml:space="preserve"> la resolución se precisa, un criterio </w:t>
      </w:r>
      <w:r w:rsidR="00260D6C" w:rsidRPr="00546812">
        <w:rPr>
          <w:rFonts w:ascii="Palatino Linotype" w:hAnsi="Palatino Linotype" w:cs="Arial"/>
          <w:sz w:val="24"/>
          <w:szCs w:val="24"/>
        </w:rPr>
        <w:t>denominado</w:t>
      </w:r>
      <w:r w:rsidR="009C43B4">
        <w:rPr>
          <w:rFonts w:ascii="Palatino Linotype" w:hAnsi="Palatino Linotype" w:cs="Arial"/>
          <w:sz w:val="24"/>
          <w:szCs w:val="24"/>
        </w:rPr>
        <w:t xml:space="preserve"> actos consentidos, a</w:t>
      </w:r>
      <w:r w:rsidRPr="00546812">
        <w:rPr>
          <w:rFonts w:ascii="Palatino Linotype" w:hAnsi="Palatino Linotype" w:cs="Arial"/>
          <w:sz w:val="24"/>
          <w:szCs w:val="24"/>
        </w:rPr>
        <w:t xml:space="preserve">l respecto estoy convencido de que la garantía constitucional que se desahoga ante esta autoridad corresponde a un procedimiento cuasi jurisdiccional que si </w:t>
      </w:r>
      <w:r w:rsidRPr="00546812">
        <w:rPr>
          <w:rFonts w:ascii="Palatino Linotype" w:hAnsi="Palatino Linotype" w:cs="Arial"/>
          <w:sz w:val="24"/>
          <w:szCs w:val="24"/>
        </w:rPr>
        <w:lastRenderedPageBreak/>
        <w:t xml:space="preserve">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546812">
        <w:rPr>
          <w:rFonts w:ascii="Palatino Linotype" w:hAnsi="Palatino Linotype" w:cs="Arial"/>
          <w:b/>
          <w:sz w:val="24"/>
          <w:szCs w:val="24"/>
        </w:rPr>
        <w:t>acudir a un profesionista del derecho</w:t>
      </w:r>
      <w:r w:rsidRPr="00546812">
        <w:rPr>
          <w:rFonts w:ascii="Palatino Linotype" w:hAnsi="Palatino Linotype" w:cs="Arial"/>
          <w:sz w:val="24"/>
          <w:szCs w:val="24"/>
        </w:rPr>
        <w:t xml:space="preserve"> para que le asista en la elaboración de su promoción; contrario a ello, nuestro sistema pretende asistirle </w:t>
      </w:r>
      <w:r w:rsidR="009C43B4">
        <w:rPr>
          <w:rFonts w:ascii="Palatino Linotype" w:hAnsi="Palatino Linotype" w:cs="Arial"/>
          <w:sz w:val="24"/>
          <w:szCs w:val="24"/>
        </w:rPr>
        <w:t>y facilitarle el procedimiento.</w:t>
      </w:r>
    </w:p>
    <w:p w:rsidR="009C43B4" w:rsidRDefault="009C43B4" w:rsidP="009C43B4">
      <w:pPr>
        <w:pStyle w:val="Prrafodelista"/>
        <w:spacing w:before="240" w:after="0" w:line="240" w:lineRule="auto"/>
        <w:ind w:left="360" w:right="49"/>
        <w:jc w:val="both"/>
        <w:rPr>
          <w:rFonts w:ascii="Palatino Linotype" w:hAnsi="Palatino Linotype" w:cs="Arial"/>
          <w:sz w:val="24"/>
          <w:szCs w:val="24"/>
        </w:rPr>
      </w:pPr>
    </w:p>
    <w:p w:rsidR="00546812" w:rsidRPr="00546812" w:rsidRDefault="009C43B4"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E</w:t>
      </w:r>
      <w:r w:rsidR="0046491C" w:rsidRPr="00546812">
        <w:rPr>
          <w:rFonts w:ascii="Palatino Linotype" w:hAnsi="Palatino Linotype" w:cs="Arial"/>
          <w:sz w:val="24"/>
          <w:szCs w:val="24"/>
        </w:rPr>
        <w:t xml:space="preserve">sa flexibilidad se vería seriamente comprometida si este </w:t>
      </w:r>
      <w:r w:rsidR="00FE5690" w:rsidRPr="00546812">
        <w:rPr>
          <w:rFonts w:ascii="Palatino Linotype" w:hAnsi="Palatino Linotype" w:cs="Arial"/>
          <w:sz w:val="24"/>
          <w:szCs w:val="24"/>
        </w:rPr>
        <w:t xml:space="preserve">Órgano Garante </w:t>
      </w:r>
      <w:r w:rsidR="0046491C" w:rsidRPr="00546812">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DF7B12" w:rsidRDefault="00546812" w:rsidP="00DF7B12">
      <w:pPr>
        <w:pStyle w:val="Prrafodelista"/>
        <w:spacing w:before="240" w:after="0" w:line="240" w:lineRule="auto"/>
        <w:ind w:left="360" w:right="49"/>
        <w:jc w:val="both"/>
        <w:rPr>
          <w:rFonts w:ascii="Palatino Linotype" w:hAnsi="Palatino Linotype" w:cs="Arial"/>
          <w:sz w:val="16"/>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La figura de la suplencia de la queja, para Héctor </w:t>
      </w:r>
      <w:proofErr w:type="spellStart"/>
      <w:r w:rsidRPr="00546812">
        <w:rPr>
          <w:rFonts w:ascii="Palatino Linotype" w:hAnsi="Palatino Linotype" w:cs="Arial"/>
          <w:sz w:val="24"/>
          <w:szCs w:val="24"/>
        </w:rPr>
        <w:t>Fix</w:t>
      </w:r>
      <w:proofErr w:type="spellEnd"/>
      <w:r w:rsidRPr="00546812">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w:t>
      </w:r>
      <w:r w:rsidRPr="00546812">
        <w:rPr>
          <w:rFonts w:ascii="Palatino Linotype" w:hAnsi="Palatino Linotype" w:cs="Arial"/>
          <w:sz w:val="24"/>
          <w:szCs w:val="24"/>
        </w:rPr>
        <w:lastRenderedPageBreak/>
        <w:t>medios de prueba”.</w:t>
      </w:r>
      <w:r w:rsidRPr="00546812">
        <w:rPr>
          <w:rStyle w:val="Refdenotaalpie"/>
          <w:rFonts w:ascii="Palatino Linotype" w:hAnsi="Palatino Linotype" w:cs="Arial"/>
          <w:sz w:val="24"/>
          <w:szCs w:val="24"/>
        </w:rPr>
        <w:footnoteReference w:id="1"/>
      </w:r>
      <w:r w:rsidRPr="00546812">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sz w:val="24"/>
          <w:szCs w:val="24"/>
        </w:rPr>
        <w:footnoteReference w:id="2"/>
      </w:r>
      <w:r w:rsidRPr="00546812">
        <w:rPr>
          <w:rFonts w:ascii="Palatino Linotype" w:hAnsi="Palatino Linotype" w:cs="Arial"/>
          <w:sz w:val="24"/>
          <w:szCs w:val="24"/>
        </w:rPr>
        <w:t xml:space="preserve"> </w:t>
      </w:r>
    </w:p>
    <w:p w:rsidR="0097582C" w:rsidRPr="00546812" w:rsidRDefault="0097582C" w:rsidP="00DF7B12">
      <w:pPr>
        <w:pStyle w:val="Prrafodelista"/>
        <w:spacing w:before="240" w:after="0" w:line="240" w:lineRule="auto"/>
        <w:ind w:left="360" w:right="49"/>
        <w:jc w:val="both"/>
        <w:rPr>
          <w:rFonts w:ascii="Palatino Linotype" w:hAnsi="Palatino Linotype" w:cs="Arial"/>
          <w:sz w:val="24"/>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F0FDE" w:rsidRPr="004F0FDE" w:rsidRDefault="004F0FDE" w:rsidP="004F0FDE">
      <w:pPr>
        <w:pStyle w:val="Prrafodelista"/>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sz w:val="24"/>
          <w:szCs w:val="24"/>
        </w:rPr>
        <w:t>garantía de los derechos humanos</w:t>
      </w:r>
      <w:r w:rsidRPr="00546812">
        <w:rPr>
          <w:rFonts w:ascii="Palatino Linotype" w:hAnsi="Palatino Linotype" w:cs="Arial"/>
          <w:sz w:val="24"/>
          <w:szCs w:val="24"/>
        </w:rPr>
        <w:t xml:space="preserve">, de tal forma que cualquier esfuerzo que se haga en el sentido de cumplir con dicho mandato no resulta </w:t>
      </w:r>
      <w:r w:rsidRPr="00546812">
        <w:rPr>
          <w:rFonts w:ascii="Palatino Linotype" w:hAnsi="Palatino Linotype" w:cs="Arial"/>
          <w:sz w:val="24"/>
          <w:szCs w:val="24"/>
        </w:rPr>
        <w:lastRenderedPageBreak/>
        <w:t>ocioso ni sobra sino demuestra el grado de compromiso de la autoridad con este aspecto toral de la reforma constitucional del 10 de junio de 2011.</w:t>
      </w:r>
    </w:p>
    <w:p w:rsidR="00546812" w:rsidRPr="00546812" w:rsidRDefault="00546812" w:rsidP="00DF7B12">
      <w:pPr>
        <w:pStyle w:val="Prrafodelista"/>
        <w:spacing w:line="240" w:lineRule="auto"/>
        <w:rPr>
          <w:rFonts w:ascii="Palatino Linotype" w:hAnsi="Palatino Linotype" w:cs="Arial"/>
          <w:sz w:val="24"/>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 este sentido el Dr. Miguel Carbonell ha señalado que:</w:t>
      </w:r>
    </w:p>
    <w:p w:rsidR="0046491C" w:rsidRDefault="0046491C" w:rsidP="00546812">
      <w:pPr>
        <w:pStyle w:val="Prrafodelista"/>
        <w:spacing w:after="0" w:line="360" w:lineRule="auto"/>
        <w:ind w:left="709" w:right="474"/>
        <w:jc w:val="both"/>
        <w:rPr>
          <w:rFonts w:ascii="Palatino Linotype" w:hAnsi="Palatino Linotype" w:cs="Arial"/>
          <w:sz w:val="24"/>
          <w:szCs w:val="24"/>
        </w:rPr>
      </w:pPr>
      <w:r w:rsidRPr="00546812">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546812">
        <w:rPr>
          <w:rFonts w:ascii="Palatino Linotype" w:hAnsi="Palatino Linotype" w:cs="Arial"/>
          <w:b/>
          <w:sz w:val="24"/>
          <w:szCs w:val="24"/>
        </w:rPr>
        <w:t>considerando que algún nivel de gobierno tenga obligaciones reforzadas hacia ciertos derechos.</w:t>
      </w:r>
      <w:r w:rsidRPr="00546812">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546812">
        <w:rPr>
          <w:rFonts w:ascii="Palatino Linotype" w:hAnsi="Palatino Linotype" w:cs="Arial"/>
          <w:b/>
          <w:sz w:val="24"/>
          <w:szCs w:val="24"/>
        </w:rPr>
        <w:t>tomar todas las medidas que sean pertinentes para tutelar y hacer eficaz un derecho</w:t>
      </w:r>
      <w:r w:rsidRPr="00546812">
        <w:rPr>
          <w:rFonts w:ascii="Palatino Linotype" w:hAnsi="Palatino Linotype" w:cs="Arial"/>
          <w:sz w:val="24"/>
          <w:szCs w:val="24"/>
        </w:rPr>
        <w:t>”.</w:t>
      </w:r>
      <w:r w:rsidRPr="00546812">
        <w:rPr>
          <w:rStyle w:val="Refdenotaalpie"/>
          <w:rFonts w:ascii="Palatino Linotype" w:hAnsi="Palatino Linotype" w:cs="Arial"/>
          <w:sz w:val="24"/>
          <w:szCs w:val="24"/>
        </w:rPr>
        <w:footnoteReference w:id="3"/>
      </w:r>
    </w:p>
    <w:p w:rsidR="00300B98" w:rsidRPr="00546812" w:rsidRDefault="00300B98" w:rsidP="00DF7B12">
      <w:pPr>
        <w:pStyle w:val="Prrafodelista"/>
        <w:spacing w:after="0" w:line="240" w:lineRule="auto"/>
        <w:ind w:left="709" w:right="474"/>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 Por lo que restringir el derecho de acceso a la información pública del particular</w:t>
      </w:r>
      <w:r w:rsidRPr="00546812">
        <w:rPr>
          <w:rFonts w:ascii="Palatino Linotype" w:hAnsi="Palatino Linotype" w:cs="Arial"/>
          <w:b/>
          <w:sz w:val="24"/>
          <w:szCs w:val="24"/>
        </w:rPr>
        <w:t xml:space="preserve"> </w:t>
      </w:r>
      <w:r w:rsidRPr="00546812">
        <w:rPr>
          <w:rFonts w:ascii="Palatino Linotype" w:hAnsi="Palatino Linotype" w:cs="Arial"/>
          <w:sz w:val="24"/>
          <w:szCs w:val="24"/>
        </w:rPr>
        <w:t xml:space="preserve">suponiendo en el peor de los casos, que en efecto, no se hubiera ordenado </w:t>
      </w:r>
      <w:r w:rsidR="0093458D">
        <w:rPr>
          <w:rFonts w:ascii="Palatino Linotype" w:hAnsi="Palatino Linotype" w:cs="Arial"/>
          <w:sz w:val="24"/>
          <w:szCs w:val="24"/>
        </w:rPr>
        <w:t xml:space="preserve">el acuerdo de clasificación </w:t>
      </w:r>
      <w:r w:rsidRPr="00546812">
        <w:rPr>
          <w:rFonts w:ascii="Palatino Linotype" w:hAnsi="Palatino Linotype" w:cs="Arial"/>
          <w:sz w:val="24"/>
          <w:szCs w:val="24"/>
        </w:rPr>
        <w:t>por no impugnar la falta de</w:t>
      </w:r>
      <w:r w:rsidR="00CF544D">
        <w:rPr>
          <w:rFonts w:ascii="Palatino Linotype" w:hAnsi="Palatino Linotype" w:cs="Arial"/>
          <w:sz w:val="24"/>
          <w:szCs w:val="24"/>
        </w:rPr>
        <w:t xml:space="preserve"> atención de un punto en específico solicitado</w:t>
      </w:r>
      <w:r w:rsidRPr="00546812">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lastRenderedPageBreak/>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Pr>
          <w:rFonts w:ascii="Palatino Linotype" w:hAnsi="Palatino Linotype" w:cs="Arial"/>
          <w:sz w:val="24"/>
          <w:szCs w:val="24"/>
        </w:rPr>
        <w:t>:</w:t>
      </w:r>
    </w:p>
    <w:p w:rsidR="004F0FDE" w:rsidRPr="004F0FDE" w:rsidRDefault="004F0FDE" w:rsidP="004F0FDE">
      <w:pPr>
        <w:pStyle w:val="Prrafodelista"/>
        <w:rPr>
          <w:rFonts w:ascii="Palatino Linotype" w:hAnsi="Palatino Linotype" w:cs="Arial"/>
          <w:sz w:val="24"/>
          <w:szCs w:val="24"/>
        </w:rPr>
      </w:pPr>
    </w:p>
    <w:p w:rsidR="00546812" w:rsidRDefault="0046491C" w:rsidP="001455FC">
      <w:pPr>
        <w:pStyle w:val="Prrafodelista"/>
        <w:spacing w:before="240" w:after="0" w:line="360" w:lineRule="auto"/>
        <w:ind w:left="851" w:right="1325"/>
        <w:jc w:val="both"/>
        <w:rPr>
          <w:rFonts w:ascii="Palatino Linotype" w:hAnsi="Palatino Linotype" w:cs="Arial"/>
          <w:sz w:val="24"/>
          <w:szCs w:val="24"/>
        </w:rPr>
      </w:pPr>
      <w:r w:rsidRPr="00546812">
        <w:rPr>
          <w:rFonts w:ascii="Palatino Linotype" w:hAnsi="Palatino Linotype" w:cs="Arial"/>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F0FDE" w:rsidRDefault="004F0FDE" w:rsidP="001455FC">
      <w:pPr>
        <w:pStyle w:val="Prrafodelista"/>
        <w:spacing w:before="240" w:after="0" w:line="360" w:lineRule="auto"/>
        <w:ind w:left="851" w:right="1325"/>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546812">
        <w:rPr>
          <w:rFonts w:ascii="Palatino Linotype" w:hAnsi="Palatino Linotype" w:cs="Arial"/>
          <w:sz w:val="24"/>
          <w:szCs w:val="24"/>
        </w:rPr>
        <w:t>Cotta</w:t>
      </w:r>
      <w:proofErr w:type="spellEnd"/>
      <w:r w:rsidRPr="00546812">
        <w:rPr>
          <w:rFonts w:ascii="Palatino Linotype" w:hAnsi="Palatino Linotype" w:cs="Arial"/>
          <w:sz w:val="24"/>
          <w:szCs w:val="24"/>
        </w:rPr>
        <w:t xml:space="preserve"> que “la obligatoriedad de la norma depende de la validez de su justificación, que es, por consiguiente el </w:t>
      </w:r>
      <w:r w:rsidRPr="00546812">
        <w:rPr>
          <w:rFonts w:ascii="Palatino Linotype" w:hAnsi="Palatino Linotype" w:cs="Arial"/>
          <w:sz w:val="24"/>
          <w:szCs w:val="24"/>
        </w:rPr>
        <w:lastRenderedPageBreak/>
        <w:t>fundamento de aquella”,</w:t>
      </w:r>
      <w:r w:rsidRPr="00546812">
        <w:rPr>
          <w:rStyle w:val="Refdenotaalpie"/>
          <w:rFonts w:ascii="Palatino Linotype" w:hAnsi="Palatino Linotype" w:cs="Arial"/>
          <w:sz w:val="24"/>
          <w:szCs w:val="24"/>
        </w:rPr>
        <w:footnoteReference w:id="4"/>
      </w:r>
      <w:r w:rsidRPr="00546812">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546812" w:rsidRDefault="00546812" w:rsidP="00DF7B12">
      <w:pPr>
        <w:pStyle w:val="Prrafodelista"/>
        <w:spacing w:line="240" w:lineRule="auto"/>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Respetar;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Proteger;</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Garantizar; y,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Promover los derechos humanos, </w:t>
      </w:r>
    </w:p>
    <w:p w:rsidR="001455FC" w:rsidRPr="001455FC" w:rsidRDefault="001455FC" w:rsidP="001455FC">
      <w:pPr>
        <w:pStyle w:val="Prrafodelista"/>
        <w:spacing w:line="240" w:lineRule="auto"/>
        <w:rPr>
          <w:rFonts w:ascii="Palatino Linotype" w:hAnsi="Palatino Linotype" w:cs="Arial"/>
          <w:sz w:val="24"/>
          <w:szCs w:val="24"/>
        </w:rPr>
      </w:pPr>
    </w:p>
    <w:p w:rsidR="001455FC" w:rsidRDefault="001455FC"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D</w:t>
      </w:r>
      <w:r w:rsidR="0046491C" w:rsidRPr="00546812">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546812">
        <w:rPr>
          <w:rFonts w:ascii="Palatino Linotype" w:hAnsi="Palatino Linotype" w:cs="Arial"/>
          <w:b/>
          <w:sz w:val="24"/>
          <w:szCs w:val="24"/>
        </w:rPr>
        <w:t>el deber que tienen los órganos del Estado, dentro del margen de sus atribuciones, de prevenir violaciones a los derechos fundamentales,</w:t>
      </w:r>
      <w:r w:rsidR="0046491C" w:rsidRPr="00546812">
        <w:rPr>
          <w:rFonts w:ascii="Palatino Linotype" w:hAnsi="Palatino Linotype" w:cs="Arial"/>
          <w:sz w:val="24"/>
          <w:szCs w:val="24"/>
        </w:rPr>
        <w:t xml:space="preserve"> ya sea que provengan de una autoridad o de algún particular y, </w:t>
      </w:r>
      <w:r w:rsidR="0046491C" w:rsidRPr="00546812">
        <w:rPr>
          <w:rFonts w:ascii="Palatino Linotype" w:hAnsi="Palatino Linotype" w:cs="Arial"/>
          <w:sz w:val="24"/>
          <w:szCs w:val="24"/>
        </w:rPr>
        <w:lastRenderedPageBreak/>
        <w:t xml:space="preserve">por ello, </w:t>
      </w:r>
      <w:r w:rsidR="0046491C" w:rsidRPr="00546812">
        <w:rPr>
          <w:rFonts w:ascii="Palatino Linotype" w:hAnsi="Palatino Linotype" w:cs="Arial"/>
          <w:b/>
          <w:sz w:val="24"/>
          <w:szCs w:val="24"/>
        </w:rPr>
        <w:t>debe contarse</w:t>
      </w:r>
      <w:r w:rsidR="0046491C" w:rsidRPr="00546812">
        <w:rPr>
          <w:rFonts w:ascii="Palatino Linotype" w:hAnsi="Palatino Linotype" w:cs="Arial"/>
          <w:sz w:val="24"/>
          <w:szCs w:val="24"/>
        </w:rPr>
        <w:t xml:space="preserve"> tanto </w:t>
      </w:r>
      <w:r w:rsidR="0046491C" w:rsidRPr="00546812">
        <w:rPr>
          <w:rFonts w:ascii="Palatino Linotype" w:hAnsi="Palatino Linotype" w:cs="Arial"/>
          <w:b/>
          <w:sz w:val="24"/>
          <w:szCs w:val="24"/>
        </w:rPr>
        <w:t>con mecanismos</w:t>
      </w:r>
      <w:r w:rsidR="0046491C" w:rsidRPr="00546812">
        <w:rPr>
          <w:rFonts w:ascii="Palatino Linotype" w:hAnsi="Palatino Linotype" w:cs="Arial"/>
          <w:sz w:val="24"/>
          <w:szCs w:val="24"/>
        </w:rPr>
        <w:t xml:space="preserve"> de vigilancia como </w:t>
      </w:r>
      <w:r w:rsidR="0046491C" w:rsidRPr="00546812">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546812">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Default="001455FC" w:rsidP="001455FC">
      <w:pPr>
        <w:pStyle w:val="Prrafodelista"/>
        <w:spacing w:before="240" w:after="0" w:line="36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A80A1A"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546812">
        <w:rPr>
          <w:rFonts w:ascii="Palatino Linotype" w:hAnsi="Palatino Linotype" w:cs="Arial"/>
          <w:b/>
          <w:sz w:val="24"/>
          <w:szCs w:val="24"/>
        </w:rPr>
        <w:t>SUJETOS OBLIGADOS</w:t>
      </w:r>
      <w:r w:rsidRPr="00546812">
        <w:rPr>
          <w:rFonts w:ascii="Palatino Linotype" w:hAnsi="Palatino Linotype" w:cs="Arial"/>
          <w:sz w:val="24"/>
          <w:szCs w:val="24"/>
        </w:rPr>
        <w:t xml:space="preserve"> sea evidente la falta de alguno de ellos, </w:t>
      </w:r>
      <w:r w:rsidRPr="00546812">
        <w:rPr>
          <w:rFonts w:ascii="Palatino Linotype" w:hAnsi="Palatino Linotype" w:cs="Arial"/>
          <w:sz w:val="24"/>
          <w:szCs w:val="24"/>
        </w:rPr>
        <w:lastRenderedPageBreak/>
        <w:t xml:space="preserve">en ese tenor los particulares se ven impedidos, en los hechos, a acceder a una información que fue solicitada. </w:t>
      </w:r>
    </w:p>
    <w:p w:rsidR="00A80A1A" w:rsidRPr="00A80A1A" w:rsidRDefault="00A80A1A" w:rsidP="00DF7B12">
      <w:pPr>
        <w:pStyle w:val="Prrafodelista"/>
        <w:spacing w:line="240" w:lineRule="auto"/>
        <w:rPr>
          <w:rFonts w:ascii="Palatino Linotype" w:hAnsi="Palatino Linotype" w:cs="Arial"/>
          <w:sz w:val="24"/>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546812" w:rsidRDefault="00546812" w:rsidP="00DF7B12">
      <w:pPr>
        <w:pStyle w:val="Prrafodelista"/>
        <w:spacing w:line="240" w:lineRule="auto"/>
        <w:rPr>
          <w:rFonts w:ascii="Palatino Linotype" w:hAnsi="Palatino Linotype" w:cs="Arial"/>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546812">
        <w:rPr>
          <w:rFonts w:ascii="Palatino Linotype" w:hAnsi="Palatino Linotype" w:cs="Arial"/>
          <w:sz w:val="24"/>
          <w:szCs w:val="24"/>
        </w:rPr>
        <w:t>procedibilidad</w:t>
      </w:r>
      <w:proofErr w:type="spellEnd"/>
      <w:r w:rsidRPr="00546812">
        <w:rPr>
          <w:rFonts w:ascii="Palatino Linotype" w:hAnsi="Palatino Linotype" w:cs="Arial"/>
          <w:sz w:val="24"/>
          <w:szCs w:val="24"/>
        </w:rPr>
        <w:t>, ya que en todo momento nos encontramos ante un derecho más alto que, puede considerarse en los siguientes términos:</w:t>
      </w:r>
    </w:p>
    <w:p w:rsidR="0001046D" w:rsidRPr="00072966" w:rsidRDefault="0001046D" w:rsidP="00DF7B12">
      <w:pPr>
        <w:pStyle w:val="Prrafodelista"/>
        <w:spacing w:after="0" w:line="240" w:lineRule="auto"/>
        <w:ind w:left="284"/>
        <w:jc w:val="both"/>
        <w:rPr>
          <w:rFonts w:ascii="Palatino Linotype" w:hAnsi="Palatino Linotype" w:cs="Arial"/>
          <w:sz w:val="24"/>
          <w:szCs w:val="24"/>
        </w:rPr>
      </w:pPr>
    </w:p>
    <w:p w:rsidR="0046491C" w:rsidRPr="001455FC" w:rsidRDefault="0046491C" w:rsidP="004F0FDE">
      <w:pPr>
        <w:spacing w:after="0" w:line="240" w:lineRule="auto"/>
        <w:ind w:left="1134" w:right="618"/>
        <w:jc w:val="both"/>
        <w:rPr>
          <w:rFonts w:ascii="Palatino Linotype" w:hAnsi="Palatino Linotype" w:cs="Arial"/>
          <w:i/>
          <w:sz w:val="24"/>
        </w:rPr>
      </w:pPr>
      <w:r w:rsidRPr="001455FC">
        <w:rPr>
          <w:rFonts w:ascii="Palatino Linotype" w:hAnsi="Palatino Linotype" w:cs="Arial"/>
          <w:i/>
          <w:sz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455FC">
        <w:rPr>
          <w:rFonts w:ascii="Palatino Linotype" w:hAnsi="Palatino Linotype" w:cs="Arial"/>
          <w:i/>
          <w:sz w:val="24"/>
        </w:rPr>
        <w:t>ocasionalidad</w:t>
      </w:r>
      <w:proofErr w:type="spellEnd"/>
      <w:r w:rsidRPr="001455FC">
        <w:rPr>
          <w:rFonts w:ascii="Palatino Linotype" w:hAnsi="Palatino Linotype" w:cs="Arial"/>
          <w:i/>
          <w:sz w:val="24"/>
        </w:rPr>
        <w:t xml:space="preserve"> de las presiones sociales que se ejercen sobre el mismo”.</w:t>
      </w:r>
      <w:r w:rsidRPr="001455FC">
        <w:rPr>
          <w:rStyle w:val="Refdenotaalpie"/>
          <w:rFonts w:ascii="Palatino Linotype" w:hAnsi="Palatino Linotype" w:cs="Arial"/>
          <w:i/>
          <w:sz w:val="24"/>
        </w:rPr>
        <w:footnoteReference w:id="5"/>
      </w:r>
    </w:p>
    <w:p w:rsidR="0046491C" w:rsidRPr="00072966"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lastRenderedPageBreak/>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DF7B12">
      <w:pPr>
        <w:pStyle w:val="Prrafodelista"/>
        <w:spacing w:after="0" w:line="240" w:lineRule="auto"/>
        <w:ind w:left="426"/>
        <w:jc w:val="both"/>
        <w:rPr>
          <w:rFonts w:ascii="Palatino Linotype" w:hAnsi="Palatino Linotype" w:cs="Arial"/>
          <w:sz w:val="24"/>
          <w:szCs w:val="24"/>
        </w:rPr>
      </w:pPr>
    </w:p>
    <w:p w:rsidR="00DE24C8" w:rsidRDefault="0046491C" w:rsidP="00F841A1">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DE24C8" w:rsidRDefault="00DE24C8" w:rsidP="00DF7B12">
      <w:pPr>
        <w:pStyle w:val="Prrafodelista"/>
        <w:spacing w:before="240" w:after="0" w:line="240" w:lineRule="auto"/>
        <w:ind w:left="360" w:right="49"/>
        <w:jc w:val="both"/>
        <w:rPr>
          <w:rFonts w:ascii="Palatino Linotype" w:hAnsi="Palatino Linotype" w:cs="Arial"/>
          <w:sz w:val="24"/>
          <w:szCs w:val="24"/>
        </w:rPr>
      </w:pPr>
    </w:p>
    <w:p w:rsidR="00DA52E0" w:rsidRPr="00A80A1A" w:rsidRDefault="0046491C" w:rsidP="00A80A1A">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072966">
        <w:rPr>
          <w:rFonts w:ascii="Palatino Linotype" w:hAnsi="Palatino Linotype" w:cs="Arial"/>
          <w:sz w:val="24"/>
          <w:szCs w:val="24"/>
        </w:rPr>
        <w:lastRenderedPageBreak/>
        <w:t>cuando no se pronuncien al respecto, cuando sea evidente que no han sido colmados, en ese sentido no estaríamos garantizando el derecho fundamental.</w:t>
      </w:r>
    </w:p>
    <w:p w:rsidR="00440A94" w:rsidRPr="002E58A7" w:rsidRDefault="00440A94" w:rsidP="00440A94">
      <w:pPr>
        <w:pStyle w:val="Ttulo1"/>
        <w:numPr>
          <w:ilvl w:val="0"/>
          <w:numId w:val="12"/>
        </w:numPr>
        <w:spacing w:line="360" w:lineRule="auto"/>
        <w:rPr>
          <w:rFonts w:ascii="Palatino Linotype" w:hAnsi="Palatino Linotype" w:cs="Arial"/>
          <w:b/>
          <w:color w:val="auto"/>
          <w:sz w:val="24"/>
          <w:lang w:val="es-ES_tradnl"/>
        </w:rPr>
      </w:pPr>
      <w:bookmarkStart w:id="3" w:name="_Toc485899337"/>
      <w:bookmarkStart w:id="4" w:name="_Toc522281444"/>
      <w:bookmarkStart w:id="5" w:name="_Toc531016636"/>
      <w:r w:rsidRPr="00440A94">
        <w:rPr>
          <w:rFonts w:ascii="Palatino Linotype" w:hAnsi="Palatino Linotype"/>
          <w:b/>
          <w:color w:val="auto"/>
          <w:sz w:val="24"/>
          <w:szCs w:val="24"/>
        </w:rPr>
        <w:t>Efectos</w:t>
      </w:r>
      <w:r w:rsidRPr="001C3BD8">
        <w:rPr>
          <w:rFonts w:ascii="Palatino Linotype" w:hAnsi="Palatino Linotype" w:cs="Arial"/>
          <w:b/>
          <w:color w:val="auto"/>
          <w:sz w:val="24"/>
          <w:lang w:val="es-ES_tradnl"/>
        </w:rPr>
        <w:t xml:space="preserve"> de la clasificación de información y la importancia de emitir </w:t>
      </w:r>
      <w:r w:rsidRPr="002E58A7">
        <w:rPr>
          <w:rFonts w:ascii="Palatino Linotype" w:hAnsi="Palatino Linotype" w:cs="Arial"/>
          <w:b/>
          <w:color w:val="auto"/>
          <w:sz w:val="24"/>
          <w:lang w:val="es-ES_tradnl"/>
        </w:rPr>
        <w:t>acuerdos, para tales efectos, apegados a derecho</w:t>
      </w:r>
      <w:bookmarkEnd w:id="3"/>
      <w:r w:rsidRPr="002E58A7">
        <w:rPr>
          <w:rFonts w:ascii="Palatino Linotype" w:hAnsi="Palatino Linotype" w:cs="Arial"/>
          <w:b/>
          <w:color w:val="auto"/>
          <w:sz w:val="24"/>
          <w:lang w:val="es-ES_tradnl"/>
        </w:rPr>
        <w:t>.</w:t>
      </w:r>
      <w:bookmarkEnd w:id="4"/>
      <w:bookmarkEnd w:id="5"/>
    </w:p>
    <w:p w:rsidR="002E58A7" w:rsidRPr="002E58A7" w:rsidRDefault="002E58A7" w:rsidP="002E58A7">
      <w:pPr>
        <w:pStyle w:val="Prrafodelista"/>
        <w:numPr>
          <w:ilvl w:val="0"/>
          <w:numId w:val="1"/>
        </w:numPr>
        <w:spacing w:before="240" w:after="0" w:line="360" w:lineRule="auto"/>
        <w:ind w:right="49"/>
        <w:jc w:val="both"/>
        <w:rPr>
          <w:rFonts w:ascii="Palatino Linotype" w:hAnsi="Palatino Linotype" w:cs="Arial"/>
          <w:sz w:val="24"/>
          <w:szCs w:val="24"/>
          <w:highlight w:val="yellow"/>
          <w:lang w:val="es-ES_tradnl"/>
        </w:rPr>
      </w:pPr>
      <w:r w:rsidRPr="004F0FDE">
        <w:rPr>
          <w:rFonts w:ascii="Palatino Linotype" w:hAnsi="Palatino Linotype" w:cs="Arial"/>
          <w:color w:val="000000"/>
          <w:sz w:val="24"/>
          <w:szCs w:val="24"/>
          <w:lang w:val="es-ES_tradnl"/>
        </w:rPr>
        <w:t>Por</w:t>
      </w:r>
      <w:r w:rsidRPr="002E58A7">
        <w:rPr>
          <w:rFonts w:ascii="Palatino Linotype" w:hAnsi="Palatino Linotype" w:cs="Arial"/>
          <w:color w:val="000000"/>
          <w:sz w:val="24"/>
          <w:szCs w:val="24"/>
          <w:lang w:val="es-ES_tradnl"/>
        </w:rPr>
        <w:t xml:space="preserve"> otro </w:t>
      </w:r>
      <w:r w:rsidRPr="002E58A7">
        <w:rPr>
          <w:rFonts w:ascii="Palatino Linotype" w:hAnsi="Palatino Linotype" w:cs="Arial"/>
          <w:sz w:val="24"/>
          <w:szCs w:val="24"/>
          <w:lang w:val="es-ES_tradnl"/>
        </w:rPr>
        <w:t>lado</w:t>
      </w:r>
      <w:r w:rsidRPr="002E58A7">
        <w:rPr>
          <w:rFonts w:ascii="Palatino Linotype" w:hAnsi="Palatino Linotype" w:cs="Arial"/>
          <w:color w:val="000000"/>
          <w:sz w:val="24"/>
          <w:szCs w:val="24"/>
          <w:lang w:val="es-ES_tradnl"/>
        </w:rPr>
        <w:t xml:space="preserve">, </w:t>
      </w:r>
      <w:r w:rsidR="00440A94" w:rsidRPr="002E58A7">
        <w:rPr>
          <w:rFonts w:ascii="Palatino Linotype" w:hAnsi="Palatino Linotype" w:cs="Arial"/>
          <w:sz w:val="24"/>
          <w:szCs w:val="24"/>
          <w:lang w:val="es-ES_tradnl"/>
        </w:rPr>
        <w:t xml:space="preserve">el </w:t>
      </w:r>
      <w:r w:rsidR="00440A94" w:rsidRPr="002E58A7">
        <w:rPr>
          <w:rFonts w:ascii="Palatino Linotype" w:hAnsi="Palatino Linotype" w:cs="Arial"/>
          <w:sz w:val="24"/>
          <w:szCs w:val="24"/>
        </w:rPr>
        <w:t>Sujeto</w:t>
      </w:r>
      <w:r w:rsidR="00440A94" w:rsidRPr="002E58A7">
        <w:rPr>
          <w:rFonts w:ascii="Palatino Linotype" w:hAnsi="Palatino Linotype" w:cs="Arial"/>
          <w:sz w:val="24"/>
          <w:szCs w:val="24"/>
          <w:lang w:val="es-ES_tradnl"/>
        </w:rPr>
        <w:t xml:space="preserve"> Obligado </w:t>
      </w:r>
      <w:r w:rsidRPr="002E58A7">
        <w:rPr>
          <w:rFonts w:ascii="Palatino Linotype" w:hAnsi="Palatino Linotype" w:cs="Arial"/>
          <w:sz w:val="24"/>
          <w:szCs w:val="24"/>
          <w:lang w:val="es-ES_tradnl"/>
        </w:rPr>
        <w:t xml:space="preserve">en su Informe Justificado  remitió </w:t>
      </w:r>
      <w:r w:rsidRPr="002E58A7">
        <w:rPr>
          <w:rFonts w:ascii="Palatino Linotype" w:hAnsi="Palatino Linotype" w:cs="Arial"/>
          <w:sz w:val="24"/>
          <w:szCs w:val="24"/>
        </w:rPr>
        <w:t>el “Acta de la Sexta Sesión Extraordinaria del Comité de Transparencia de la Secretaría de Seguridad del Estado de México” y el anexo uno, que responde al “Acuerdo SS/CT/EXT/VI/001/2018”, en los que se argumentó lo siguiente:</w:t>
      </w:r>
    </w:p>
    <w:p w:rsidR="002E58A7" w:rsidRPr="00B276C0" w:rsidRDefault="002E58A7" w:rsidP="002E58A7">
      <w:pPr>
        <w:pStyle w:val="Prrafodelista"/>
        <w:numPr>
          <w:ilvl w:val="0"/>
          <w:numId w:val="39"/>
        </w:numPr>
        <w:spacing w:before="240" w:after="240" w:line="360" w:lineRule="auto"/>
        <w:contextualSpacing w:val="0"/>
        <w:jc w:val="both"/>
        <w:rPr>
          <w:rFonts w:ascii="Palatino Linotype" w:hAnsi="Palatino Linotype" w:cs="Arial"/>
          <w:b/>
        </w:rPr>
      </w:pPr>
      <w:r w:rsidRPr="00044946">
        <w:rPr>
          <w:rFonts w:ascii="Palatino Linotype" w:hAnsi="Palatino Linotype" w:cs="Arial"/>
          <w:b/>
        </w:rPr>
        <w:t>Acta de la Sexta Sesión Extraordinaria del Comité de Transparencia de la Secretaría de Seguridad del Estado de México.-</w:t>
      </w:r>
      <w:r>
        <w:rPr>
          <w:rFonts w:ascii="Palatino Linotype" w:hAnsi="Palatino Linotype" w:cs="Arial"/>
          <w:b/>
        </w:rPr>
        <w:t xml:space="preserve"> </w:t>
      </w:r>
      <w:r>
        <w:rPr>
          <w:rFonts w:ascii="Palatino Linotype" w:hAnsi="Palatino Linotype" w:cs="Arial"/>
        </w:rPr>
        <w:t>Corresponde a un documento emitido y rubricado por los integrantes del Comité de Transparencia, en el que se asentó que por unanimidad de votos de clasifica como información reservada por un periodo de cinco años los Diagnósticos delictivos de las 140 colonias que forman parte de la Estrategia de Atención Integral en 28 municipios en materia de seguridad pública del Estado de México al resulta inviable su desagregación, en términos de la fracción IV del artículo 222 de la Ley de Trasparencia y Acceso a la Información Pública del Estado de México y Municipios, inciso m) fracción I apartado B artículo 100 de la Ley de Seguridad del Estado de México.</w:t>
      </w:r>
    </w:p>
    <w:p w:rsidR="002E58A7" w:rsidRPr="00B276C0" w:rsidRDefault="002E58A7" w:rsidP="002E58A7">
      <w:pPr>
        <w:pStyle w:val="Prrafodelista"/>
        <w:numPr>
          <w:ilvl w:val="0"/>
          <w:numId w:val="39"/>
        </w:numPr>
        <w:spacing w:before="240" w:after="240" w:line="360" w:lineRule="auto"/>
        <w:contextualSpacing w:val="0"/>
        <w:jc w:val="both"/>
        <w:rPr>
          <w:rFonts w:ascii="Palatino Linotype" w:hAnsi="Palatino Linotype" w:cs="Arial"/>
          <w:b/>
        </w:rPr>
      </w:pPr>
      <w:r w:rsidRPr="00B276C0">
        <w:rPr>
          <w:rFonts w:ascii="Palatino Linotype" w:hAnsi="Palatino Linotype" w:cs="Arial"/>
          <w:b/>
        </w:rPr>
        <w:t>Acuerdo SS/CT/EXT/VI/001/2018</w:t>
      </w:r>
      <w:r>
        <w:rPr>
          <w:rFonts w:ascii="Palatino Linotype" w:hAnsi="Palatino Linotype" w:cs="Arial"/>
          <w:b/>
        </w:rPr>
        <w:t xml:space="preserve">.- </w:t>
      </w:r>
      <w:r>
        <w:rPr>
          <w:rFonts w:ascii="Palatino Linotype" w:hAnsi="Palatino Linotype" w:cs="Arial"/>
        </w:rPr>
        <w:t xml:space="preserve">El fenómeno delictivo se ha convertido en uno de los problemas más graves de nuestro país, en ese sentido el quehacer cotidiano de la Secretaría se realiza a través de documentos diversos que permiten la planeación estratégica de su personal operativo, para proveerles información clara </w:t>
      </w:r>
      <w:r>
        <w:rPr>
          <w:rFonts w:ascii="Palatino Linotype" w:hAnsi="Palatino Linotype" w:cs="Arial"/>
        </w:rPr>
        <w:lastRenderedPageBreak/>
        <w:t xml:space="preserve">y precisa relacionada con su labor, tal es el caso de los diagnósticos delictivos que fueron generados en 140 colonias del territorio estatal, los cuales permitirán la implementación de estrategias con la suma de esfuerzos delas instituciones de seguridad pública en la Entidad, al contener una </w:t>
      </w:r>
      <w:r>
        <w:rPr>
          <w:rFonts w:ascii="Palatino Linotype" w:hAnsi="Palatino Linotype" w:cs="Arial"/>
          <w:i/>
        </w:rPr>
        <w:t xml:space="preserve">ranking estatal, relojes criminológicos, corredores seguros y el despliegue operativo, </w:t>
      </w:r>
      <w:r>
        <w:rPr>
          <w:rFonts w:ascii="Palatino Linotype" w:hAnsi="Palatino Linotype" w:cs="Arial"/>
        </w:rPr>
        <w:t>elementos que son considerados suficientes para determinar la reserva, después de haber realizado la prueba de daño y haber demostrados un riesgo real, demostrable e identificable.</w:t>
      </w:r>
    </w:p>
    <w:p w:rsidR="00440A94" w:rsidRPr="000A6B67" w:rsidRDefault="000A6B67" w:rsidP="000A6B67">
      <w:pPr>
        <w:pStyle w:val="Prrafodelista"/>
        <w:numPr>
          <w:ilvl w:val="0"/>
          <w:numId w:val="1"/>
        </w:numPr>
        <w:spacing w:before="240" w:after="0" w:line="360" w:lineRule="auto"/>
        <w:ind w:right="49"/>
        <w:jc w:val="both"/>
        <w:rPr>
          <w:rFonts w:ascii="Palatino Linotype" w:hAnsi="Palatino Linotype" w:cs="Arial"/>
          <w:lang w:val="es-ES_tradnl"/>
        </w:rPr>
      </w:pPr>
      <w:r w:rsidRPr="000A6B67">
        <w:rPr>
          <w:rFonts w:ascii="Palatino Linotype" w:hAnsi="Palatino Linotype" w:cs="Arial"/>
          <w:sz w:val="24"/>
          <w:lang w:val="es-ES_tradnl"/>
        </w:rPr>
        <w:t>Así pues, el Sujeto Obligado r</w:t>
      </w:r>
      <w:r w:rsidR="00440A94" w:rsidRPr="000A6B67">
        <w:rPr>
          <w:rFonts w:ascii="Palatino Linotype" w:hAnsi="Palatino Linotype" w:cs="Arial"/>
          <w:sz w:val="24"/>
          <w:lang w:val="es-ES_tradnl"/>
        </w:rPr>
        <w:t xml:space="preserve">efiere que la información resulta reservada al tenor de que la </w:t>
      </w:r>
      <w:r w:rsidR="00440A94" w:rsidRPr="000A6B67">
        <w:rPr>
          <w:rFonts w:ascii="Palatino Linotype" w:hAnsi="Palatino Linotype" w:cs="Arial"/>
          <w:sz w:val="24"/>
          <w:szCs w:val="24"/>
          <w:lang w:val="es-ES_tradnl"/>
        </w:rPr>
        <w:t>información</w:t>
      </w:r>
      <w:r w:rsidR="00440A94" w:rsidRPr="000A6B67">
        <w:rPr>
          <w:rFonts w:ascii="Palatino Linotype" w:hAnsi="Palatino Linotype" w:cs="Arial"/>
          <w:sz w:val="24"/>
          <w:lang w:val="es-ES_tradnl"/>
        </w:rPr>
        <w:t xml:space="preserve"> requerida</w:t>
      </w:r>
      <w:r>
        <w:rPr>
          <w:rFonts w:ascii="Palatino Linotype" w:hAnsi="Palatino Linotype" w:cs="Arial"/>
          <w:sz w:val="24"/>
          <w:lang w:val="es-ES_tradnl"/>
        </w:rPr>
        <w:t xml:space="preserve"> actualiza lo siguiente: </w:t>
      </w:r>
    </w:p>
    <w:p w:rsidR="000A6B67" w:rsidRPr="000A6B67" w:rsidRDefault="000A6B67" w:rsidP="000A6B67">
      <w:pPr>
        <w:pStyle w:val="Prrafodelista"/>
        <w:numPr>
          <w:ilvl w:val="0"/>
          <w:numId w:val="39"/>
        </w:numPr>
        <w:spacing w:before="240" w:after="240" w:line="360" w:lineRule="auto"/>
        <w:contextualSpacing w:val="0"/>
        <w:jc w:val="both"/>
        <w:rPr>
          <w:rFonts w:ascii="Palatino Linotype" w:hAnsi="Palatino Linotype" w:cs="Arial"/>
        </w:rPr>
      </w:pPr>
      <w:r w:rsidRPr="000A6B67">
        <w:rPr>
          <w:rFonts w:ascii="Palatino Linotype" w:hAnsi="Palatino Linotype" w:cs="Arial"/>
        </w:rPr>
        <w:t xml:space="preserve">Contiene las colonias y avenida con mayores índices de criminalidad, horarios específicos en que se cometen los ilícitos, mapeos georreferenciados de las colonias y calles especificas con mayor índice delictivo a partir de las llamadas realizadas al Sistema de atención de Llamadas de emergencia 9-1-1 y de las carpetas de investigación iniciadas en la Fiscalía General de Justicia del Estado de México , y la cantidad de Personal Operativo desplegado, armamento utilizado, cantidad de vehículos, así como las rutas de patrullaje. </w:t>
      </w:r>
    </w:p>
    <w:p w:rsidR="000A6B67" w:rsidRPr="000A6B67" w:rsidRDefault="000A6B67" w:rsidP="000A6B67">
      <w:pPr>
        <w:pStyle w:val="Prrafodelista"/>
        <w:numPr>
          <w:ilvl w:val="0"/>
          <w:numId w:val="39"/>
        </w:numPr>
        <w:spacing w:before="240" w:after="240" w:line="360" w:lineRule="auto"/>
        <w:contextualSpacing w:val="0"/>
        <w:jc w:val="both"/>
        <w:rPr>
          <w:rFonts w:ascii="Palatino Linotype" w:hAnsi="Palatino Linotype" w:cs="Arial"/>
        </w:rPr>
      </w:pPr>
      <w:r w:rsidRPr="000A6B67">
        <w:rPr>
          <w:rFonts w:ascii="Palatino Linotype" w:hAnsi="Palatino Linotype" w:cs="Arial"/>
        </w:rPr>
        <w:t>El actuar de la Secretaría de Seguridad y de las instancias que colaboran en la implementación de la estrategia, se vería afectado de dar a conocer la cantidad y ubicación de los elementos y equipo policial, datos cualitativos y cuantitativos de las estrategias implementadas, horarios de mayor presencia de personal operativo encargado de implementar la estrategia, puntos vulnerables y horarios en los que se comete el hecho delictivo, información que es compartida con instituciones de seguridad pública en la Entidad.</w:t>
      </w:r>
    </w:p>
    <w:p w:rsidR="000A6B67" w:rsidRPr="000A6B67" w:rsidRDefault="000A6B67" w:rsidP="000A6B67">
      <w:pPr>
        <w:pStyle w:val="Prrafodelista"/>
        <w:numPr>
          <w:ilvl w:val="0"/>
          <w:numId w:val="39"/>
        </w:numPr>
        <w:spacing w:before="240" w:after="240" w:line="360" w:lineRule="auto"/>
        <w:contextualSpacing w:val="0"/>
        <w:jc w:val="both"/>
        <w:rPr>
          <w:rFonts w:ascii="Palatino Linotype" w:hAnsi="Palatino Linotype" w:cs="Arial"/>
        </w:rPr>
      </w:pPr>
      <w:r w:rsidRPr="000A6B67">
        <w:rPr>
          <w:rFonts w:ascii="Palatino Linotype" w:hAnsi="Palatino Linotype" w:cs="Arial"/>
        </w:rPr>
        <w:lastRenderedPageBreak/>
        <w:t>Puede ocasionarse graves daños a la sociedad, al propiciarse daños inminentes en la estabilidad y seguridad pública del Estado de México, al restar eficiencia y eficacia a los métodos, técnicas y tácticas implementadas para la salvaguarda de la paz y el orden público en territorio mexiquense.</w:t>
      </w: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w:t>
      </w:r>
      <w:r w:rsidRPr="00440A94">
        <w:rPr>
          <w:rFonts w:ascii="Palatino Linotype" w:hAnsi="Palatino Linotype" w:cs="Arial"/>
          <w:sz w:val="24"/>
          <w:lang w:val="es-ES_tradnl"/>
        </w:rPr>
        <w:t>anterior</w:t>
      </w:r>
      <w:r w:rsidRPr="001C3BD8">
        <w:rPr>
          <w:rFonts w:ascii="Palatino Linotype" w:hAnsi="Palatino Linotype" w:cs="Arial"/>
          <w:sz w:val="24"/>
          <w:szCs w:val="24"/>
          <w:lang w:val="es-ES_tradnl"/>
        </w:rPr>
        <w:t>, es menester señalar que el Instituto Nacional de Transparencia y Acceso a la Información y Protección de Datos Personales,</w:t>
      </w:r>
      <w:r w:rsidR="000A6B67">
        <w:rPr>
          <w:rFonts w:ascii="Palatino Linotype" w:hAnsi="Palatino Linotype" w:cs="Arial"/>
          <w:sz w:val="24"/>
          <w:szCs w:val="24"/>
          <w:lang w:val="es-ES_tradnl"/>
        </w:rPr>
        <w:t xml:space="preserve"> como ejemplo</w:t>
      </w:r>
      <w:r w:rsidRPr="001C3BD8">
        <w:rPr>
          <w:rFonts w:ascii="Palatino Linotype" w:hAnsi="Palatino Linotype" w:cs="Arial"/>
          <w:sz w:val="24"/>
          <w:szCs w:val="24"/>
          <w:lang w:val="es-ES_tradnl"/>
        </w:rPr>
        <w:t xml:space="preserve"> en el expediente RIA 82/18, establece que para acreditar la reserva de la información, es necesario actualizar cuatro requisitos, siendo estos los siguientes:</w:t>
      </w:r>
    </w:p>
    <w:p w:rsidR="00440A94" w:rsidRPr="001C3BD8" w:rsidRDefault="00440A94" w:rsidP="00440A94">
      <w:pPr>
        <w:pStyle w:val="Prrafodelista"/>
        <w:spacing w:line="240" w:lineRule="auto"/>
        <w:rPr>
          <w:rFonts w:ascii="Palatino Linotype" w:hAnsi="Palatino Linotype" w:cs="Arial"/>
          <w:sz w:val="24"/>
          <w:szCs w:val="24"/>
          <w:lang w:val="es-ES_tradnl"/>
        </w:rPr>
      </w:pP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La existencia de un juicio o procedimiento administrativo materialmente jurisdiccional.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Que el juicio se encuentre en trámite, es decir, que no haya causado estado.</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440A94">
      <w:pPr>
        <w:pStyle w:val="Prrafodelista"/>
        <w:spacing w:before="240" w:after="240" w:line="360" w:lineRule="auto"/>
        <w:ind w:left="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únicamente al configurarse los mismos, es procedente la reserva de la </w:t>
      </w:r>
      <w:r w:rsidRPr="00440A94">
        <w:rPr>
          <w:rFonts w:ascii="Palatino Linotype" w:hAnsi="Palatino Linotype" w:cs="Arial"/>
          <w:sz w:val="24"/>
          <w:lang w:val="es-ES_tradnl"/>
        </w:rPr>
        <w:t>información</w:t>
      </w:r>
      <w:r w:rsidRPr="001C3BD8">
        <w:rPr>
          <w:rFonts w:ascii="Palatino Linotype" w:hAnsi="Palatino Linotype" w:cs="Arial"/>
          <w:sz w:val="24"/>
          <w:szCs w:val="24"/>
          <w:lang w:val="es-ES_tradnl"/>
        </w:rPr>
        <w:t xml:space="preserve">, si uno de los requisitos faltase, no será en ningún momento posible su reserva. </w:t>
      </w:r>
    </w:p>
    <w:p w:rsidR="00440A94" w:rsidRPr="001C3BD8" w:rsidRDefault="00440A94" w:rsidP="00440A94">
      <w:pPr>
        <w:pStyle w:val="Prrafodelista"/>
        <w:spacing w:before="240" w:after="240" w:line="360" w:lineRule="auto"/>
        <w:ind w:left="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Del </w:t>
      </w:r>
      <w:r w:rsidRPr="00440A94">
        <w:rPr>
          <w:rFonts w:ascii="Palatino Linotype" w:hAnsi="Palatino Linotype" w:cs="Arial"/>
          <w:sz w:val="24"/>
          <w:lang w:val="es-ES_tradnl"/>
        </w:rPr>
        <w:t>expediente</w:t>
      </w:r>
      <w:r w:rsidRPr="001C3BD8">
        <w:rPr>
          <w:rFonts w:ascii="Palatino Linotype" w:hAnsi="Palatino Linotype" w:cs="Arial"/>
          <w:sz w:val="24"/>
          <w:szCs w:val="24"/>
          <w:lang w:val="es-ES_tradnl"/>
        </w:rPr>
        <w:t xml:space="preserve">, objeto de mi presente voto, advierto que del estudio minucioso de la resolución dictada por la ponencia resolutoria, se desprende lo siguiente: </w:t>
      </w:r>
    </w:p>
    <w:p w:rsidR="00440A94" w:rsidRPr="001C3BD8" w:rsidRDefault="00440A94" w:rsidP="00440A94">
      <w:pPr>
        <w:pStyle w:val="Prrafodelista"/>
        <w:spacing w:line="360" w:lineRule="auto"/>
        <w:rPr>
          <w:rFonts w:ascii="Palatino Linotype" w:hAnsi="Palatino Linotype" w:cs="Arial"/>
          <w:sz w:val="24"/>
          <w:szCs w:val="24"/>
          <w:lang w:val="es-ES_tradnl"/>
        </w:rPr>
      </w:pPr>
    </w:p>
    <w:p w:rsidR="00440A94" w:rsidRPr="001C3BD8" w:rsidRDefault="00440A94"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Sujeto Obligado reservó la información sin analizar la naturaleza de la misma, sin ajustar las circunstancias de modo tiempo y lugar a la hip</w:t>
      </w:r>
      <w:r w:rsidR="00EF2367">
        <w:rPr>
          <w:rFonts w:ascii="Palatino Linotype" w:hAnsi="Palatino Linotype" w:cs="Arial"/>
          <w:sz w:val="24"/>
          <w:szCs w:val="24"/>
          <w:lang w:val="es-ES_tradnl"/>
        </w:rPr>
        <w:t>ótesis que configura la reserva.</w:t>
      </w:r>
    </w:p>
    <w:p w:rsidR="00440A94" w:rsidRDefault="00EF2367"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No se garantizó el principio de máxima publicidad. </w:t>
      </w:r>
    </w:p>
    <w:p w:rsidR="00440A94" w:rsidRPr="006D278C" w:rsidRDefault="00440A94" w:rsidP="00440A94">
      <w:pPr>
        <w:pStyle w:val="Prrafodelista"/>
        <w:spacing w:before="240" w:after="240" w:line="240" w:lineRule="auto"/>
        <w:ind w:left="567" w:right="616"/>
        <w:jc w:val="both"/>
        <w:rPr>
          <w:rFonts w:ascii="Palatino Linotype" w:hAnsi="Palatino Linotype" w:cs="Arial"/>
          <w:sz w:val="16"/>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w:t>
      </w:r>
      <w:r w:rsidRPr="00440A94">
        <w:rPr>
          <w:rFonts w:ascii="Palatino Linotype" w:hAnsi="Palatino Linotype" w:cs="Arial"/>
          <w:sz w:val="24"/>
          <w:lang w:val="es-ES_tradnl"/>
        </w:rPr>
        <w:t>anterior</w:t>
      </w:r>
      <w:r w:rsidRPr="001C3BD8">
        <w:rPr>
          <w:rFonts w:ascii="Palatino Linotype" w:hAnsi="Palatino Linotype" w:cs="Arial"/>
          <w:sz w:val="24"/>
          <w:szCs w:val="24"/>
          <w:lang w:val="es-ES_tradnl"/>
        </w:rPr>
        <w:t xml:space="preserve">,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440A94" w:rsidRPr="006D278C" w:rsidRDefault="00440A94" w:rsidP="00440A94">
      <w:pPr>
        <w:pStyle w:val="Prrafodelista"/>
        <w:spacing w:line="240" w:lineRule="auto"/>
        <w:ind w:left="0" w:right="49"/>
        <w:jc w:val="both"/>
        <w:rPr>
          <w:rFonts w:ascii="Palatino Linotype" w:hAnsi="Palatino Linotype" w:cs="Arial"/>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Respecto al análisis realizado por la ponencia </w:t>
      </w:r>
      <w:proofErr w:type="spellStart"/>
      <w:r w:rsidRPr="001C3BD8">
        <w:rPr>
          <w:rFonts w:ascii="Palatino Linotype" w:hAnsi="Palatino Linotype" w:cs="Arial"/>
          <w:sz w:val="24"/>
          <w:szCs w:val="24"/>
          <w:lang w:val="es-ES_tradnl"/>
        </w:rPr>
        <w:t>resolutora</w:t>
      </w:r>
      <w:proofErr w:type="spellEnd"/>
      <w:r w:rsidRPr="001C3BD8">
        <w:rPr>
          <w:rFonts w:ascii="Palatino Linotype" w:hAnsi="Palatino Linotype" w:cs="Arial"/>
          <w:sz w:val="24"/>
          <w:szCs w:val="24"/>
          <w:lang w:val="es-ES_tradnl"/>
        </w:rPr>
        <w:t xml:space="preserve"> 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440A94" w:rsidRPr="001C3BD8" w:rsidRDefault="00440A94" w:rsidP="00440A94">
      <w:pPr>
        <w:pStyle w:val="Prrafodelista"/>
        <w:spacing w:line="360" w:lineRule="auto"/>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Es imprescriptible señalar que en el presente año, este Órgano </w:t>
      </w:r>
      <w:proofErr w:type="spellStart"/>
      <w:r w:rsidRPr="001C3BD8">
        <w:rPr>
          <w:rFonts w:ascii="Palatino Linotype" w:hAnsi="Palatino Linotype" w:cs="Arial"/>
          <w:sz w:val="24"/>
          <w:szCs w:val="24"/>
          <w:lang w:val="es-ES_tradnl"/>
        </w:rPr>
        <w:t>Resolutor</w:t>
      </w:r>
      <w:proofErr w:type="spellEnd"/>
      <w:r w:rsidRPr="001C3BD8">
        <w:rPr>
          <w:rFonts w:ascii="Palatino Linotype" w:hAnsi="Palatino Linotype" w:cs="Arial"/>
          <w:sz w:val="24"/>
          <w:szCs w:val="24"/>
          <w:lang w:val="es-ES_tradnl"/>
        </w:rPr>
        <w:t xml:space="preserve"> ha sido sometido a un estricto control por parte del Instituto Nacional de Transparencia, Acceso a la Información y Protección de Datos Personales (INAI), como resultado de los Recursos de Inconformidad </w:t>
      </w:r>
      <w:r w:rsidRPr="001C3BD8">
        <w:rPr>
          <w:rFonts w:ascii="Palatino Linotype" w:hAnsi="Palatino Linotype" w:cs="Arial"/>
          <w:sz w:val="24"/>
          <w:szCs w:val="24"/>
          <w:lang w:val="es-ES_tradnl" w:eastAsia="es-MX"/>
        </w:rPr>
        <w:t>069/18 y RIA 082/18</w:t>
      </w:r>
      <w:r w:rsidRPr="001C3BD8">
        <w:rPr>
          <w:rFonts w:ascii="Palatino Linotype" w:hAnsi="Palatino Linotype" w:cs="Arial"/>
          <w:sz w:val="24"/>
          <w:szCs w:val="24"/>
          <w:lang w:val="es-ES_tradnl"/>
        </w:rPr>
        <w:t xml:space="preserve">, en los que el Órgano Garante Nacional, puntualmente dirigió a este Órgano Garante local, que para invocar la causal de reserva, se deben de agotar todos y cada uno de los requisitos. </w:t>
      </w:r>
    </w:p>
    <w:p w:rsidR="00440A94" w:rsidRPr="001C3BD8" w:rsidRDefault="00440A94" w:rsidP="00440A94">
      <w:pPr>
        <w:pStyle w:val="Prrafodelista"/>
        <w:spacing w:line="240" w:lineRule="auto"/>
        <w:ind w:left="0" w:right="49"/>
        <w:jc w:val="both"/>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4F0FDE" w:rsidRPr="004F0FDE" w:rsidRDefault="004F0FDE" w:rsidP="004F0FDE">
      <w:pPr>
        <w:pStyle w:val="Prrafodelista"/>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440A94" w:rsidRPr="001C3BD8" w:rsidRDefault="00440A94" w:rsidP="00440A94">
      <w:pPr>
        <w:pStyle w:val="Prrafodelista"/>
        <w:spacing w:before="240" w:after="0" w:line="360" w:lineRule="auto"/>
        <w:ind w:left="36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 xml:space="preserve">Por tanto, al tratar directamente con un derecho humano, todas las autoridades nos vemos impuestas del supremo mandato constitucional consistente en la promoción, respeto, protección y </w:t>
      </w:r>
      <w:r w:rsidRPr="001C3BD8">
        <w:rPr>
          <w:rFonts w:ascii="Palatino Linotype" w:hAnsi="Palatino Linotype" w:cs="Arial"/>
          <w:b/>
          <w:sz w:val="24"/>
          <w:szCs w:val="24"/>
          <w:lang w:val="es-ES_tradnl"/>
        </w:rPr>
        <w:t>garantía de los derechos humanos</w:t>
      </w:r>
      <w:r w:rsidRPr="001C3BD8">
        <w:rPr>
          <w:rFonts w:ascii="Palatino Linotype" w:hAnsi="Palatino Linotype" w:cs="Arial"/>
          <w:sz w:val="24"/>
          <w:szCs w:val="24"/>
          <w:lang w:val="es-ES_tradnl"/>
        </w:rPr>
        <w:t>, de tal forma que cualquier esfuerzo que se haga en el sentido de cumplir con dicho mandato no resulta ocioso ni sobra sino demuestra el grado de compromiso de la autoridad con este aspecto toral de la reforma constitucional del 10 de junio de 2011.</w:t>
      </w:r>
    </w:p>
    <w:p w:rsidR="00440A94" w:rsidRPr="001C3BD8" w:rsidRDefault="00440A94" w:rsidP="00440A94">
      <w:pPr>
        <w:pStyle w:val="Prrafodelista"/>
        <w:spacing w:before="240" w:after="240" w:line="240" w:lineRule="auto"/>
        <w:ind w:left="0" w:right="49"/>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este sentido el Dr. Miguel Carbonell ha señalado que: “Queda claro, en consecuencia, que las obligaciones de promoción, respeto, protección y garantía de los derechos corren a cargo de todos los poderes, incluso </w:t>
      </w:r>
      <w:r w:rsidRPr="001C3BD8">
        <w:rPr>
          <w:rFonts w:ascii="Palatino Linotype" w:hAnsi="Palatino Linotype" w:cs="Arial"/>
          <w:b/>
          <w:sz w:val="24"/>
          <w:szCs w:val="24"/>
          <w:lang w:val="es-ES_tradnl"/>
        </w:rPr>
        <w:t>considerando que algún nivel de gobierno tenga obligaciones reforzadas hacia ciertos derechos.</w:t>
      </w:r>
      <w:r w:rsidRPr="001C3BD8">
        <w:rPr>
          <w:rFonts w:ascii="Palatino Linotype" w:hAnsi="Palatino Linotype" w:cs="Arial"/>
          <w:sz w:val="24"/>
          <w:szCs w:val="24"/>
          <w:lang w:val="es-ES_tradnl"/>
        </w:rPr>
        <w:t xml:space="preserve"> A partir de tales deberes generales, podemos afirmar que las autoridades de todos los niveles de gobierno también tienen la obligación positiva de </w:t>
      </w:r>
      <w:r w:rsidRPr="001C3BD8">
        <w:rPr>
          <w:rFonts w:ascii="Palatino Linotype" w:hAnsi="Palatino Linotype" w:cs="Arial"/>
          <w:b/>
          <w:sz w:val="24"/>
          <w:szCs w:val="24"/>
          <w:lang w:val="es-ES_tradnl"/>
        </w:rPr>
        <w:t>tomar todas las medidas que sean pertinentes para tutelar y hacer eficaz un derecho</w:t>
      </w:r>
      <w:r w:rsidRPr="001C3BD8">
        <w:rPr>
          <w:rFonts w:ascii="Palatino Linotype" w:hAnsi="Palatino Linotype" w:cs="Arial"/>
          <w:sz w:val="24"/>
          <w:szCs w:val="24"/>
          <w:lang w:val="es-ES_tradnl"/>
        </w:rPr>
        <w:t>”.</w:t>
      </w:r>
      <w:r w:rsidRPr="001C3BD8">
        <w:rPr>
          <w:rStyle w:val="Refdenotaalpie"/>
          <w:rFonts w:ascii="Palatino Linotype" w:hAnsi="Palatino Linotype" w:cs="Arial"/>
          <w:sz w:val="24"/>
          <w:szCs w:val="24"/>
          <w:lang w:val="es-ES_tradnl"/>
        </w:rPr>
        <w:footnoteReference w:id="6"/>
      </w:r>
    </w:p>
    <w:p w:rsidR="00440A94" w:rsidRPr="001C3BD8" w:rsidRDefault="00440A94" w:rsidP="00440A94">
      <w:pPr>
        <w:pStyle w:val="Prrafodelista"/>
        <w:spacing w:line="240" w:lineRule="auto"/>
        <w:ind w:left="0"/>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Al tenor de lo anterior, y al ser el Instituto de Transparencia y Acceso a la Información, la autoridad protectora de tal derecho reconocido en diversas normatividades, el que suscribe dicho voto no se percató del cumplimiento de </w:t>
      </w:r>
      <w:r w:rsidRPr="001C3BD8">
        <w:rPr>
          <w:rFonts w:ascii="Palatino Linotype" w:hAnsi="Palatino Linotype" w:cs="Arial"/>
          <w:sz w:val="24"/>
          <w:szCs w:val="24"/>
          <w:lang w:val="es-ES_tradnl"/>
        </w:rPr>
        <w:lastRenderedPageBreak/>
        <w:t xml:space="preserve">la facultad consagrada en la ley de la materia en su artículo 185, fracción V,  donde a la letra refiere que: </w:t>
      </w:r>
    </w:p>
    <w:p w:rsidR="00440A94" w:rsidRPr="001C3BD8" w:rsidRDefault="00440A94" w:rsidP="00440A94">
      <w:pPr>
        <w:pStyle w:val="Prrafodelista"/>
        <w:spacing w:line="360" w:lineRule="auto"/>
        <w:ind w:left="360"/>
        <w:jc w:val="both"/>
        <w:rPr>
          <w:rFonts w:ascii="Palatino Linotype" w:hAnsi="Palatino Linotype" w:cs="Arial"/>
          <w:sz w:val="24"/>
          <w:szCs w:val="24"/>
          <w:lang w:val="es-ES_tradnl"/>
        </w:rPr>
      </w:pP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“Artículo 185. El instituto resolverá el recurso de revisión conforme a lo siguiente:</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V. La o el Comisionado ponente podrá determinar la celebración de audiencias con las partes durante la sustanciación del proceso. </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r w:rsidRPr="001C3BD8">
        <w:rPr>
          <w:rFonts w:ascii="Palatino Linotype" w:hAnsi="Palatino Linotype" w:cs="Arial"/>
          <w:sz w:val="24"/>
          <w:szCs w:val="24"/>
          <w:lang w:val="es-ES_tradnl"/>
        </w:rPr>
        <w:t>“</w:t>
      </w: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relación con lo anterior, considero que la ponencia </w:t>
      </w:r>
      <w:proofErr w:type="spellStart"/>
      <w:r w:rsidRPr="001C3BD8">
        <w:rPr>
          <w:rFonts w:ascii="Palatino Linotype" w:hAnsi="Palatino Linotype" w:cs="Arial"/>
          <w:sz w:val="24"/>
          <w:szCs w:val="24"/>
          <w:lang w:val="es-ES_tradnl"/>
        </w:rPr>
        <w:t>resolutora</w:t>
      </w:r>
      <w:proofErr w:type="spellEnd"/>
      <w:r w:rsidRPr="001C3BD8">
        <w:rPr>
          <w:rFonts w:ascii="Palatino Linotype" w:hAnsi="Palatino Linotype" w:cs="Arial"/>
          <w:sz w:val="24"/>
          <w:szCs w:val="24"/>
          <w:lang w:val="es-ES_tradn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440A94" w:rsidRPr="006D278C" w:rsidRDefault="00440A94" w:rsidP="00440A94">
      <w:pPr>
        <w:pStyle w:val="Prrafodelista"/>
        <w:spacing w:line="240" w:lineRule="auto"/>
        <w:ind w:left="360"/>
        <w:jc w:val="both"/>
        <w:rPr>
          <w:rFonts w:ascii="Palatino Linotype" w:hAnsi="Palatino Linotype" w:cs="Arial"/>
          <w:sz w:val="18"/>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sz w:val="24"/>
          <w:szCs w:val="24"/>
          <w:lang w:val="es-ES_tradnl"/>
        </w:rPr>
        <w:lastRenderedPageBreak/>
        <w:t>La Ley en la materia nos establece que la clasificación total o parcial de la información requerida, mediante solicitud de acceso a la información pública serán los</w:t>
      </w:r>
      <w:r w:rsidRPr="001C3BD8">
        <w:rPr>
          <w:rFonts w:ascii="Palatino Linotype" w:hAnsi="Palatino Linotype" w:cs="Arial"/>
          <w:sz w:val="24"/>
          <w:szCs w:val="24"/>
          <w:lang w:val="es-ES_tradnl"/>
        </w:rPr>
        <w:t xml:space="preserve"> sujetos obligados quienes determinaran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esa tesitura, es importante señalar que para acreditar la reserva de la información, es necesario que se actualicen los siguientes requisitos: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440A94">
      <w:pPr>
        <w:pStyle w:val="Prrafodelista"/>
        <w:spacing w:line="240" w:lineRule="auto"/>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lastRenderedPageBreak/>
        <w:t>Por consiguiente, el Sujeto Obligado</w:t>
      </w:r>
      <w:r w:rsidR="007B476C">
        <w:rPr>
          <w:rFonts w:ascii="Palatino Linotype" w:hAnsi="Palatino Linotype" w:cs="Arial"/>
          <w:sz w:val="24"/>
          <w:szCs w:val="24"/>
          <w:lang w:val="es-ES_tradnl"/>
        </w:rPr>
        <w:t xml:space="preserve"> </w:t>
      </w:r>
      <w:r w:rsidR="00EF2367">
        <w:rPr>
          <w:rFonts w:ascii="Palatino Linotype" w:hAnsi="Palatino Linotype" w:cs="Arial"/>
          <w:sz w:val="24"/>
          <w:szCs w:val="24"/>
          <w:lang w:val="es-ES_tradnl"/>
        </w:rPr>
        <w:t>debió</w:t>
      </w:r>
      <w:r w:rsidR="007B476C">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 de analizar cada uno de los requisitos anteriormente señalados, con la finalidad de determinar si se configura la hipótesis de reserva. </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Ya que si bien, el derecho de acceso a la información no es absoluto, también lo es que los particulares tienen derecho a acceder a información pública, y específicamente cuanto se trate de reservar la información, el Sujeto Obligado deberá de corroborar que se actualice alguno de los supuestos anteriormente señalados, ya que su difusión puede dar cabal atención al citado derecho pero también es dar a conocer el antecedente y/o cronología de un asunto en particular que se requiere. </w:t>
      </w:r>
    </w:p>
    <w:p w:rsidR="00440A94" w:rsidRPr="00BC10BD" w:rsidRDefault="00440A94" w:rsidP="00440A94">
      <w:pPr>
        <w:pStyle w:val="Prrafodelista"/>
        <w:rPr>
          <w:rFonts w:ascii="Palatino Linotype" w:hAnsi="Palatino Linotype" w:cs="Arial"/>
          <w:sz w:val="24"/>
          <w:szCs w:val="24"/>
          <w:lang w:val="es-ES_tradnl"/>
        </w:rPr>
      </w:pPr>
    </w:p>
    <w:p w:rsidR="00440A94" w:rsidRPr="004F0FDE" w:rsidRDefault="00440A94" w:rsidP="004F0FDE">
      <w:pPr>
        <w:pStyle w:val="Prrafodelista"/>
        <w:numPr>
          <w:ilvl w:val="0"/>
          <w:numId w:val="1"/>
        </w:numPr>
        <w:spacing w:line="360" w:lineRule="auto"/>
        <w:jc w:val="both"/>
        <w:rPr>
          <w:rFonts w:ascii="Palatino Linotype" w:hAnsi="Palatino Linotype" w:cs="Arial"/>
          <w:sz w:val="24"/>
          <w:szCs w:val="24"/>
          <w:lang w:val="es-ES_tradnl"/>
        </w:rPr>
      </w:pPr>
      <w:r w:rsidRPr="0019521B">
        <w:rPr>
          <w:rFonts w:ascii="Palatino Linotype" w:hAnsi="Palatino Linotype" w:cs="Arial"/>
          <w:sz w:val="24"/>
          <w:szCs w:val="24"/>
          <w:lang w:val="es-ES_tradnl"/>
        </w:rPr>
        <w:t xml:space="preserve">Finalmente, es importante destacar que en este caso, se </w:t>
      </w:r>
      <w:r>
        <w:rPr>
          <w:rFonts w:ascii="Palatino Linotype" w:hAnsi="Palatino Linotype" w:cs="Arial"/>
          <w:sz w:val="24"/>
          <w:szCs w:val="24"/>
          <w:lang w:val="es-ES_tradnl"/>
        </w:rPr>
        <w:t>emitió</w:t>
      </w:r>
      <w:r w:rsidRPr="0019521B">
        <w:rPr>
          <w:rFonts w:ascii="Palatino Linotype" w:hAnsi="Palatino Linotype" w:cs="Arial"/>
          <w:sz w:val="24"/>
          <w:szCs w:val="24"/>
          <w:lang w:val="es-ES_tradnl"/>
        </w:rPr>
        <w:t xml:space="preserve"> un voto particular derivado de la naturaleza del mismo, ya que es necesario que el Sujeto Obligado analice y determine si la información se debe de clasificarse o no, con base en las características de los documentos y si cumple y actualiza las hipótesis </w:t>
      </w:r>
      <w:r>
        <w:rPr>
          <w:rFonts w:ascii="Palatino Linotype" w:hAnsi="Palatino Linotype" w:cs="Arial"/>
          <w:sz w:val="24"/>
          <w:szCs w:val="24"/>
          <w:lang w:val="es-ES_tradnl"/>
        </w:rPr>
        <w:t xml:space="preserve">para </w:t>
      </w:r>
      <w:r w:rsidRPr="0019521B">
        <w:rPr>
          <w:rFonts w:ascii="Palatino Linotype" w:hAnsi="Palatino Linotype" w:cs="Arial"/>
          <w:sz w:val="24"/>
          <w:szCs w:val="24"/>
          <w:lang w:val="es-ES_tradnl"/>
        </w:rPr>
        <w:t>acreditar la reserva de la información</w:t>
      </w:r>
      <w:r>
        <w:rPr>
          <w:rFonts w:ascii="Palatino Linotype" w:hAnsi="Palatino Linotype" w:cs="Arial"/>
          <w:sz w:val="24"/>
          <w:szCs w:val="24"/>
          <w:lang w:val="es-ES_tradnl"/>
        </w:rPr>
        <w:t>.</w:t>
      </w:r>
    </w:p>
    <w:p w:rsidR="00DA52E0" w:rsidRDefault="00DA52E0" w:rsidP="00DA52E0">
      <w:pPr>
        <w:spacing w:after="0" w:line="360" w:lineRule="auto"/>
        <w:contextualSpacing/>
        <w:jc w:val="both"/>
        <w:rPr>
          <w:rFonts w:ascii="Palatino Linotype" w:hAnsi="Palatino Linotype" w:cs="Arial"/>
          <w:color w:val="000000" w:themeColor="text1"/>
          <w:szCs w:val="24"/>
        </w:rPr>
      </w:pPr>
    </w:p>
    <w:p w:rsidR="004F0FDE" w:rsidRDefault="004F0FDE" w:rsidP="00DA52E0">
      <w:pPr>
        <w:spacing w:after="0" w:line="360" w:lineRule="auto"/>
        <w:contextualSpacing/>
        <w:jc w:val="both"/>
        <w:rPr>
          <w:rFonts w:ascii="Palatino Linotype" w:hAnsi="Palatino Linotype" w:cs="Arial"/>
          <w:color w:val="000000" w:themeColor="text1"/>
          <w:szCs w:val="24"/>
        </w:rPr>
      </w:pPr>
    </w:p>
    <w:p w:rsidR="004F0FDE" w:rsidRPr="006B5B33" w:rsidRDefault="004F0FDE"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4F0FDE">
      <w:pPr>
        <w:spacing w:after="0" w:line="24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4F0FDE">
      <w:pPr>
        <w:spacing w:after="0" w:line="24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1455FC" w:rsidRDefault="001455FC" w:rsidP="004F0FDE">
      <w:pPr>
        <w:spacing w:after="0" w:line="24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bookmarkStart w:id="6" w:name="_GoBack"/>
      <w:bookmarkEnd w:id="6"/>
    </w:p>
    <w:sectPr w:rsidR="00DA52E0" w:rsidRPr="00A640C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88" w:rsidRDefault="00D27F88" w:rsidP="00E706DA">
      <w:pPr>
        <w:spacing w:after="0" w:line="240" w:lineRule="auto"/>
      </w:pPr>
      <w:r>
        <w:separator/>
      </w:r>
    </w:p>
  </w:endnote>
  <w:endnote w:type="continuationSeparator" w:id="0">
    <w:p w:rsidR="00D27F88" w:rsidRDefault="00D27F8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21B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21B5A">
              <w:rPr>
                <w:rFonts w:ascii="Palatino Linotype" w:hAnsi="Palatino Linotype"/>
                <w:b/>
                <w:bCs/>
                <w:noProof/>
                <w:sz w:val="20"/>
                <w:szCs w:val="20"/>
              </w:rPr>
              <w:t>24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21B5A">
              <w:rPr>
                <w:rFonts w:ascii="Palatino Linotype" w:hAnsi="Palatino Linotype"/>
                <w:b/>
                <w:bCs/>
                <w:noProof/>
                <w:sz w:val="20"/>
                <w:szCs w:val="20"/>
              </w:rPr>
              <w:t>24</w:t>
            </w:r>
            <w:r w:rsidRPr="0052203D">
              <w:rPr>
                <w:rFonts w:ascii="Palatino Linotype" w:hAnsi="Palatino Linotype"/>
                <w:b/>
                <w:bCs/>
                <w:sz w:val="20"/>
                <w:szCs w:val="20"/>
              </w:rPr>
              <w:fldChar w:fldCharType="end"/>
            </w:r>
          </w:p>
        </w:sdtContent>
      </w:sdt>
    </w:sdtContent>
  </w:sdt>
  <w:p w:rsidR="00951E8B" w:rsidRDefault="00D21B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D21B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88" w:rsidRDefault="00D27F88" w:rsidP="00E706DA">
      <w:pPr>
        <w:spacing w:after="0" w:line="240" w:lineRule="auto"/>
      </w:pPr>
      <w:r>
        <w:separator/>
      </w:r>
    </w:p>
  </w:footnote>
  <w:footnote w:type="continuationSeparator" w:id="0">
    <w:p w:rsidR="00D27F88" w:rsidRDefault="00D27F88"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 w:id="6">
    <w:p w:rsidR="00440A94" w:rsidRDefault="00440A94" w:rsidP="00440A94">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21B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21B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D21B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21B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0F83DE6"/>
    <w:multiLevelType w:val="hybridMultilevel"/>
    <w:tmpl w:val="C1B2697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3072BE"/>
    <w:multiLevelType w:val="hybridMultilevel"/>
    <w:tmpl w:val="79D0AE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176F4A"/>
    <w:multiLevelType w:val="hybridMultilevel"/>
    <w:tmpl w:val="65061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586D57"/>
    <w:multiLevelType w:val="hybridMultilevel"/>
    <w:tmpl w:val="F800CD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
  </w:num>
  <w:num w:numId="3">
    <w:abstractNumId w:val="11"/>
  </w:num>
  <w:num w:numId="4">
    <w:abstractNumId w:val="16"/>
  </w:num>
  <w:num w:numId="5">
    <w:abstractNumId w:val="21"/>
  </w:num>
  <w:num w:numId="6">
    <w:abstractNumId w:val="23"/>
  </w:num>
  <w:num w:numId="7">
    <w:abstractNumId w:val="30"/>
  </w:num>
  <w:num w:numId="8">
    <w:abstractNumId w:val="28"/>
  </w:num>
  <w:num w:numId="9">
    <w:abstractNumId w:val="36"/>
  </w:num>
  <w:num w:numId="10">
    <w:abstractNumId w:val="3"/>
  </w:num>
  <w:num w:numId="11">
    <w:abstractNumId w:val="34"/>
  </w:num>
  <w:num w:numId="12">
    <w:abstractNumId w:val="13"/>
  </w:num>
  <w:num w:numId="13">
    <w:abstractNumId w:val="6"/>
  </w:num>
  <w:num w:numId="14">
    <w:abstractNumId w:val="10"/>
  </w:num>
  <w:num w:numId="15">
    <w:abstractNumId w:val="24"/>
  </w:num>
  <w:num w:numId="16">
    <w:abstractNumId w:val="0"/>
  </w:num>
  <w:num w:numId="17">
    <w:abstractNumId w:val="5"/>
  </w:num>
  <w:num w:numId="18">
    <w:abstractNumId w:val="39"/>
  </w:num>
  <w:num w:numId="19">
    <w:abstractNumId w:val="8"/>
  </w:num>
  <w:num w:numId="20">
    <w:abstractNumId w:val="27"/>
  </w:num>
  <w:num w:numId="21">
    <w:abstractNumId w:val="20"/>
  </w:num>
  <w:num w:numId="22">
    <w:abstractNumId w:val="18"/>
  </w:num>
  <w:num w:numId="23">
    <w:abstractNumId w:val="7"/>
  </w:num>
  <w:num w:numId="24">
    <w:abstractNumId w:val="17"/>
  </w:num>
  <w:num w:numId="25">
    <w:abstractNumId w:val="32"/>
  </w:num>
  <w:num w:numId="26">
    <w:abstractNumId w:val="25"/>
  </w:num>
  <w:num w:numId="27">
    <w:abstractNumId w:val="1"/>
  </w:num>
  <w:num w:numId="28">
    <w:abstractNumId w:val="38"/>
  </w:num>
  <w:num w:numId="29">
    <w:abstractNumId w:val="14"/>
  </w:num>
  <w:num w:numId="30">
    <w:abstractNumId w:val="26"/>
  </w:num>
  <w:num w:numId="31">
    <w:abstractNumId w:val="9"/>
  </w:num>
  <w:num w:numId="32">
    <w:abstractNumId w:val="37"/>
  </w:num>
  <w:num w:numId="33">
    <w:abstractNumId w:val="33"/>
  </w:num>
  <w:num w:numId="34">
    <w:abstractNumId w:val="12"/>
  </w:num>
  <w:num w:numId="35">
    <w:abstractNumId w:val="29"/>
  </w:num>
  <w:num w:numId="36">
    <w:abstractNumId w:val="4"/>
  </w:num>
  <w:num w:numId="37">
    <w:abstractNumId w:val="15"/>
  </w:num>
  <w:num w:numId="38">
    <w:abstractNumId w:val="19"/>
  </w:num>
  <w:num w:numId="39">
    <w:abstractNumId w:val="3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52306"/>
    <w:rsid w:val="0006605E"/>
    <w:rsid w:val="00072966"/>
    <w:rsid w:val="00073F0D"/>
    <w:rsid w:val="000810AB"/>
    <w:rsid w:val="000951B4"/>
    <w:rsid w:val="000A3369"/>
    <w:rsid w:val="000A6B67"/>
    <w:rsid w:val="000A77B5"/>
    <w:rsid w:val="000A7B66"/>
    <w:rsid w:val="000B2003"/>
    <w:rsid w:val="000B7C6E"/>
    <w:rsid w:val="000D7900"/>
    <w:rsid w:val="000F6CBB"/>
    <w:rsid w:val="00122625"/>
    <w:rsid w:val="00143343"/>
    <w:rsid w:val="001455FC"/>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648E8"/>
    <w:rsid w:val="002779B4"/>
    <w:rsid w:val="00281310"/>
    <w:rsid w:val="002C0734"/>
    <w:rsid w:val="002C1F75"/>
    <w:rsid w:val="002D4C34"/>
    <w:rsid w:val="002E58A7"/>
    <w:rsid w:val="002F000B"/>
    <w:rsid w:val="00300B98"/>
    <w:rsid w:val="00346DBD"/>
    <w:rsid w:val="00367E00"/>
    <w:rsid w:val="003705BB"/>
    <w:rsid w:val="003747A5"/>
    <w:rsid w:val="003C7100"/>
    <w:rsid w:val="003C7244"/>
    <w:rsid w:val="003D7B9E"/>
    <w:rsid w:val="0040354A"/>
    <w:rsid w:val="00412952"/>
    <w:rsid w:val="0042345D"/>
    <w:rsid w:val="00424DE3"/>
    <w:rsid w:val="00440A94"/>
    <w:rsid w:val="00444048"/>
    <w:rsid w:val="0046491C"/>
    <w:rsid w:val="004802BA"/>
    <w:rsid w:val="0048490F"/>
    <w:rsid w:val="0049058E"/>
    <w:rsid w:val="004F0FDE"/>
    <w:rsid w:val="00532410"/>
    <w:rsid w:val="00546812"/>
    <w:rsid w:val="005527D5"/>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343BB"/>
    <w:rsid w:val="00746812"/>
    <w:rsid w:val="00751652"/>
    <w:rsid w:val="0076241F"/>
    <w:rsid w:val="00770016"/>
    <w:rsid w:val="007879C6"/>
    <w:rsid w:val="00790E37"/>
    <w:rsid w:val="007A378A"/>
    <w:rsid w:val="007A7FAD"/>
    <w:rsid w:val="007B476C"/>
    <w:rsid w:val="007E3EA9"/>
    <w:rsid w:val="00810197"/>
    <w:rsid w:val="00814A43"/>
    <w:rsid w:val="00814E97"/>
    <w:rsid w:val="008361CA"/>
    <w:rsid w:val="008370F1"/>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52FF8"/>
    <w:rsid w:val="0095525C"/>
    <w:rsid w:val="0097582C"/>
    <w:rsid w:val="00987663"/>
    <w:rsid w:val="009C43B4"/>
    <w:rsid w:val="009C4EF6"/>
    <w:rsid w:val="00A07EF4"/>
    <w:rsid w:val="00A26E97"/>
    <w:rsid w:val="00A31633"/>
    <w:rsid w:val="00A54D9D"/>
    <w:rsid w:val="00A626F8"/>
    <w:rsid w:val="00A63717"/>
    <w:rsid w:val="00A80A1A"/>
    <w:rsid w:val="00A96F87"/>
    <w:rsid w:val="00AA49F3"/>
    <w:rsid w:val="00AB023D"/>
    <w:rsid w:val="00AB126B"/>
    <w:rsid w:val="00AC381E"/>
    <w:rsid w:val="00AC430A"/>
    <w:rsid w:val="00AD16A9"/>
    <w:rsid w:val="00AE4797"/>
    <w:rsid w:val="00B120CA"/>
    <w:rsid w:val="00B56CFE"/>
    <w:rsid w:val="00BA3743"/>
    <w:rsid w:val="00BB22FB"/>
    <w:rsid w:val="00BB5E12"/>
    <w:rsid w:val="00BC7B0C"/>
    <w:rsid w:val="00BE555F"/>
    <w:rsid w:val="00BF3534"/>
    <w:rsid w:val="00BF43E0"/>
    <w:rsid w:val="00C0667F"/>
    <w:rsid w:val="00C33F49"/>
    <w:rsid w:val="00C371B0"/>
    <w:rsid w:val="00C40065"/>
    <w:rsid w:val="00C44341"/>
    <w:rsid w:val="00C7250F"/>
    <w:rsid w:val="00C74552"/>
    <w:rsid w:val="00CE0823"/>
    <w:rsid w:val="00CF544D"/>
    <w:rsid w:val="00D11CB8"/>
    <w:rsid w:val="00D21B5A"/>
    <w:rsid w:val="00D26D87"/>
    <w:rsid w:val="00D27F88"/>
    <w:rsid w:val="00D33AF9"/>
    <w:rsid w:val="00D363F7"/>
    <w:rsid w:val="00D42526"/>
    <w:rsid w:val="00D447F1"/>
    <w:rsid w:val="00D47536"/>
    <w:rsid w:val="00D72985"/>
    <w:rsid w:val="00D7456D"/>
    <w:rsid w:val="00D7508B"/>
    <w:rsid w:val="00DA52E0"/>
    <w:rsid w:val="00DC63EE"/>
    <w:rsid w:val="00DD7C56"/>
    <w:rsid w:val="00DE24C8"/>
    <w:rsid w:val="00DF6665"/>
    <w:rsid w:val="00DF6F7E"/>
    <w:rsid w:val="00DF7B12"/>
    <w:rsid w:val="00E26799"/>
    <w:rsid w:val="00E34F08"/>
    <w:rsid w:val="00E41EA1"/>
    <w:rsid w:val="00E61AB8"/>
    <w:rsid w:val="00E706DA"/>
    <w:rsid w:val="00E75DEF"/>
    <w:rsid w:val="00E83E93"/>
    <w:rsid w:val="00E90EB5"/>
    <w:rsid w:val="00E91F07"/>
    <w:rsid w:val="00E94FBF"/>
    <w:rsid w:val="00EA711B"/>
    <w:rsid w:val="00EC772B"/>
    <w:rsid w:val="00EF0C2D"/>
    <w:rsid w:val="00EF2367"/>
    <w:rsid w:val="00EF6D60"/>
    <w:rsid w:val="00F45161"/>
    <w:rsid w:val="00F46E78"/>
    <w:rsid w:val="00F5642A"/>
    <w:rsid w:val="00F841A1"/>
    <w:rsid w:val="00F857BC"/>
    <w:rsid w:val="00F86F9B"/>
    <w:rsid w:val="00FA59F5"/>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D4FC-12DD-4EC6-A33D-BD1251EC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5203</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2018-12-12T23:21:00Z</cp:lastPrinted>
  <dcterms:created xsi:type="dcterms:W3CDTF">2018-11-26T23:34:00Z</dcterms:created>
  <dcterms:modified xsi:type="dcterms:W3CDTF">2019-01-18T01:34:00Z</dcterms:modified>
</cp:coreProperties>
</file>